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3A26" w:rsidRDefault="00904A25">
      <w:pPr>
        <w:spacing w:line="360" w:lineRule="auto"/>
        <w:rPr>
          <w:b/>
          <w:sz w:val="32"/>
          <w:szCs w:val="24"/>
        </w:rPr>
      </w:pPr>
      <w:r>
        <w:rPr>
          <w:b/>
          <w:sz w:val="32"/>
          <w:szCs w:val="24"/>
        </w:rPr>
        <w:t>Supplementary Materials</w:t>
      </w:r>
    </w:p>
    <w:p w:rsidR="007F3A26" w:rsidRDefault="007F3A26">
      <w:pPr>
        <w:spacing w:line="360" w:lineRule="auto"/>
        <w:rPr>
          <w:b/>
          <w:sz w:val="24"/>
          <w:szCs w:val="24"/>
        </w:rPr>
      </w:pPr>
    </w:p>
    <w:p w:rsidR="007F3A26" w:rsidRDefault="00904A25">
      <w:pPr>
        <w:spacing w:line="360" w:lineRule="auto"/>
        <w:rPr>
          <w:b/>
          <w:sz w:val="28"/>
          <w:szCs w:val="24"/>
        </w:rPr>
      </w:pPr>
      <w:r>
        <w:rPr>
          <w:b/>
          <w:sz w:val="28"/>
          <w:szCs w:val="24"/>
        </w:rPr>
        <w:t>Common</w:t>
      </w:r>
      <w:r>
        <w:rPr>
          <w:rFonts w:hint="eastAsia"/>
          <w:b/>
          <w:sz w:val="28"/>
          <w:szCs w:val="24"/>
        </w:rPr>
        <w:t>-i</w:t>
      </w:r>
      <w:r>
        <w:rPr>
          <w:b/>
          <w:sz w:val="28"/>
          <w:szCs w:val="24"/>
        </w:rPr>
        <w:t>on Effect Triggered Highly Sustained Seawater Electrolysis with Additional NaCl Production</w:t>
      </w:r>
    </w:p>
    <w:p w:rsidR="007F3A26" w:rsidRDefault="007F3A26">
      <w:pPr>
        <w:spacing w:line="360" w:lineRule="auto"/>
        <w:rPr>
          <w:b/>
          <w:sz w:val="24"/>
          <w:szCs w:val="24"/>
        </w:rPr>
      </w:pPr>
    </w:p>
    <w:p w:rsidR="007F3A26" w:rsidRDefault="00904A25">
      <w:pPr>
        <w:spacing w:line="360" w:lineRule="auto"/>
        <w:rPr>
          <w:sz w:val="24"/>
          <w:szCs w:val="24"/>
        </w:rPr>
      </w:pPr>
      <w:r>
        <w:rPr>
          <w:sz w:val="24"/>
          <w:szCs w:val="24"/>
        </w:rPr>
        <w:t>Pengsong Li</w:t>
      </w:r>
      <w:r>
        <w:rPr>
          <w:sz w:val="24"/>
          <w:szCs w:val="24"/>
          <w:vertAlign w:val="superscript"/>
        </w:rPr>
        <w:t>1, †</w:t>
      </w:r>
      <w:r>
        <w:rPr>
          <w:sz w:val="24"/>
          <w:szCs w:val="24"/>
        </w:rPr>
        <w:t>, Shiyuan Wang</w:t>
      </w:r>
      <w:r>
        <w:rPr>
          <w:sz w:val="24"/>
          <w:szCs w:val="24"/>
          <w:vertAlign w:val="superscript"/>
        </w:rPr>
        <w:t xml:space="preserve"> 1, †</w:t>
      </w:r>
      <w:r>
        <w:rPr>
          <w:sz w:val="24"/>
          <w:szCs w:val="24"/>
        </w:rPr>
        <w:t>, Imran Ahmed Samo</w:t>
      </w:r>
      <w:r>
        <w:rPr>
          <w:sz w:val="24"/>
          <w:szCs w:val="24"/>
          <w:vertAlign w:val="superscript"/>
        </w:rPr>
        <w:t>1</w:t>
      </w:r>
      <w:r>
        <w:rPr>
          <w:sz w:val="24"/>
          <w:szCs w:val="24"/>
        </w:rPr>
        <w:t>, Xingheng Zhang</w:t>
      </w:r>
      <w:r>
        <w:rPr>
          <w:sz w:val="24"/>
          <w:szCs w:val="24"/>
          <w:vertAlign w:val="superscript"/>
        </w:rPr>
        <w:t>1</w:t>
      </w:r>
      <w:r>
        <w:rPr>
          <w:sz w:val="24"/>
          <w:szCs w:val="24"/>
        </w:rPr>
        <w:t xml:space="preserve">, </w:t>
      </w:r>
      <w:r w:rsidRPr="00234A62">
        <w:rPr>
          <w:rFonts w:hint="eastAsia"/>
          <w:sz w:val="24"/>
          <w:szCs w:val="24"/>
        </w:rPr>
        <w:t>Zhaolei Wang</w:t>
      </w:r>
      <w:r w:rsidRPr="00234A62">
        <w:rPr>
          <w:rFonts w:hint="eastAsia"/>
          <w:sz w:val="24"/>
          <w:szCs w:val="24"/>
          <w:vertAlign w:val="superscript"/>
        </w:rPr>
        <w:t>1</w:t>
      </w:r>
      <w:r w:rsidRPr="00234A62">
        <w:rPr>
          <w:rFonts w:hint="eastAsia"/>
          <w:sz w:val="24"/>
          <w:szCs w:val="24"/>
        </w:rPr>
        <w:t xml:space="preserve">, </w:t>
      </w:r>
      <w:r>
        <w:rPr>
          <w:sz w:val="24"/>
          <w:szCs w:val="24"/>
        </w:rPr>
        <w:t>Cheng Wang</w:t>
      </w:r>
      <w:r>
        <w:rPr>
          <w:sz w:val="24"/>
          <w:szCs w:val="24"/>
          <w:vertAlign w:val="superscript"/>
        </w:rPr>
        <w:t>2</w:t>
      </w:r>
      <w:r>
        <w:rPr>
          <w:sz w:val="24"/>
          <w:szCs w:val="24"/>
        </w:rPr>
        <w:t>, Yang Li</w:t>
      </w:r>
      <w:r>
        <w:rPr>
          <w:sz w:val="24"/>
          <w:szCs w:val="24"/>
          <w:vertAlign w:val="superscript"/>
        </w:rPr>
        <w:t>1</w:t>
      </w:r>
      <w:r>
        <w:rPr>
          <w:sz w:val="24"/>
          <w:szCs w:val="24"/>
        </w:rPr>
        <w:t>, Yiyun Du</w:t>
      </w:r>
      <w:r>
        <w:rPr>
          <w:sz w:val="24"/>
          <w:szCs w:val="24"/>
          <w:vertAlign w:val="superscript"/>
        </w:rPr>
        <w:t>3</w:t>
      </w:r>
      <w:r>
        <w:rPr>
          <w:sz w:val="24"/>
          <w:szCs w:val="24"/>
        </w:rPr>
        <w:t>, Yang Zhong</w:t>
      </w:r>
      <w:r>
        <w:rPr>
          <w:sz w:val="24"/>
          <w:szCs w:val="24"/>
          <w:vertAlign w:val="superscript"/>
        </w:rPr>
        <w:t>1</w:t>
      </w:r>
      <w:r>
        <w:rPr>
          <w:sz w:val="24"/>
          <w:szCs w:val="24"/>
        </w:rPr>
        <w:t>,</w:t>
      </w:r>
      <w:r>
        <w:rPr>
          <w:rFonts w:hint="eastAsia"/>
          <w:sz w:val="24"/>
          <w:szCs w:val="24"/>
        </w:rPr>
        <w:t xml:space="preserve"> </w:t>
      </w:r>
      <w:r>
        <w:rPr>
          <w:sz w:val="24"/>
          <w:szCs w:val="24"/>
        </w:rPr>
        <w:t>Congtian Cheng</w:t>
      </w:r>
      <w:r>
        <w:rPr>
          <w:sz w:val="24"/>
          <w:szCs w:val="24"/>
          <w:vertAlign w:val="superscript"/>
        </w:rPr>
        <w:t>1</w:t>
      </w:r>
      <w:r>
        <w:rPr>
          <w:sz w:val="24"/>
          <w:szCs w:val="24"/>
        </w:rPr>
        <w:t>, Wenwen Xu</w:t>
      </w:r>
      <w:r>
        <w:rPr>
          <w:sz w:val="24"/>
          <w:szCs w:val="24"/>
          <w:vertAlign w:val="superscript"/>
        </w:rPr>
        <w:t>4</w:t>
      </w:r>
      <w:r>
        <w:rPr>
          <w:sz w:val="24"/>
          <w:szCs w:val="24"/>
        </w:rPr>
        <w:t xml:space="preserve">, </w:t>
      </w:r>
      <w:r w:rsidR="00437241" w:rsidRPr="008F1675">
        <w:rPr>
          <w:sz w:val="24"/>
          <w:szCs w:val="24"/>
          <w:highlight w:val="yellow"/>
        </w:rPr>
        <w:t>X</w:t>
      </w:r>
      <w:r w:rsidR="00437241" w:rsidRPr="008F1675">
        <w:rPr>
          <w:rFonts w:hint="eastAsia"/>
          <w:sz w:val="24"/>
          <w:szCs w:val="24"/>
          <w:highlight w:val="yellow"/>
        </w:rPr>
        <w:t>i</w:t>
      </w:r>
      <w:r w:rsidR="00437241" w:rsidRPr="008F1675">
        <w:rPr>
          <w:sz w:val="24"/>
          <w:szCs w:val="24"/>
          <w:highlight w:val="yellow"/>
        </w:rPr>
        <w:t>jun Liu</w:t>
      </w:r>
      <w:r w:rsidR="00437241" w:rsidRPr="008F1675">
        <w:rPr>
          <w:sz w:val="24"/>
          <w:szCs w:val="24"/>
          <w:highlight w:val="yellow"/>
          <w:vertAlign w:val="superscript"/>
        </w:rPr>
        <w:t>5</w:t>
      </w:r>
      <w:r w:rsidR="00437241">
        <w:rPr>
          <w:sz w:val="24"/>
          <w:szCs w:val="24"/>
        </w:rPr>
        <w:t xml:space="preserve">, </w:t>
      </w:r>
      <w:r>
        <w:rPr>
          <w:sz w:val="24"/>
          <w:szCs w:val="24"/>
        </w:rPr>
        <w:t>Yun Kuang</w:t>
      </w:r>
      <w:r>
        <w:rPr>
          <w:sz w:val="24"/>
          <w:szCs w:val="24"/>
          <w:vertAlign w:val="superscript"/>
        </w:rPr>
        <w:t>1, *</w:t>
      </w:r>
      <w:r>
        <w:rPr>
          <w:sz w:val="24"/>
          <w:szCs w:val="24"/>
        </w:rPr>
        <w:t>, Zhiyi Lu</w:t>
      </w:r>
      <w:r w:rsidR="00437241" w:rsidRPr="00437241">
        <w:rPr>
          <w:sz w:val="24"/>
          <w:szCs w:val="24"/>
          <w:highlight w:val="yellow"/>
          <w:vertAlign w:val="superscript"/>
        </w:rPr>
        <w:t>4,6</w:t>
      </w:r>
      <w:r w:rsidRPr="00437241">
        <w:rPr>
          <w:sz w:val="24"/>
          <w:szCs w:val="24"/>
          <w:highlight w:val="yellow"/>
          <w:vertAlign w:val="superscript"/>
        </w:rPr>
        <w:t>,</w:t>
      </w:r>
      <w:r>
        <w:rPr>
          <w:sz w:val="24"/>
          <w:szCs w:val="24"/>
          <w:vertAlign w:val="superscript"/>
        </w:rPr>
        <w:t xml:space="preserve"> *</w:t>
      </w:r>
      <w:r>
        <w:rPr>
          <w:sz w:val="24"/>
          <w:szCs w:val="24"/>
        </w:rPr>
        <w:t>, Xiaoming Sun</w:t>
      </w:r>
      <w:r>
        <w:rPr>
          <w:sz w:val="24"/>
          <w:szCs w:val="24"/>
          <w:vertAlign w:val="superscript"/>
        </w:rPr>
        <w:t>1,</w:t>
      </w:r>
      <w:r>
        <w:rPr>
          <w:sz w:val="24"/>
          <w:szCs w:val="24"/>
        </w:rPr>
        <w:t xml:space="preserve"> </w:t>
      </w:r>
      <w:r>
        <w:rPr>
          <w:sz w:val="24"/>
          <w:szCs w:val="24"/>
          <w:vertAlign w:val="superscript"/>
        </w:rPr>
        <w:t>*</w:t>
      </w:r>
    </w:p>
    <w:p w:rsidR="007F3A26" w:rsidRDefault="007F3A26">
      <w:pPr>
        <w:spacing w:line="360" w:lineRule="auto"/>
        <w:rPr>
          <w:b/>
          <w:sz w:val="24"/>
          <w:szCs w:val="24"/>
        </w:rPr>
      </w:pPr>
    </w:p>
    <w:p w:rsidR="007F3A26" w:rsidRDefault="00904A25">
      <w:pPr>
        <w:spacing w:line="360" w:lineRule="auto"/>
        <w:rPr>
          <w:sz w:val="24"/>
          <w:szCs w:val="24"/>
        </w:rPr>
      </w:pPr>
      <w:r>
        <w:rPr>
          <w:sz w:val="24"/>
          <w:szCs w:val="24"/>
          <w:vertAlign w:val="superscript"/>
        </w:rPr>
        <w:t>1</w:t>
      </w:r>
      <w:r>
        <w:rPr>
          <w:sz w:val="24"/>
          <w:szCs w:val="24"/>
        </w:rPr>
        <w:t>State Key Laboratory of Chemical Resource Engineering, Beijing Advanced Innovation Centre for Soft Matter Science and Engineering, College of Chemistry, Beijing University of Chemical Technology, Beijing 100029, China</w:t>
      </w:r>
    </w:p>
    <w:p w:rsidR="007F3A26" w:rsidRDefault="00904A25">
      <w:pPr>
        <w:spacing w:line="360" w:lineRule="auto"/>
        <w:rPr>
          <w:sz w:val="24"/>
          <w:szCs w:val="24"/>
        </w:rPr>
      </w:pPr>
      <w:r>
        <w:rPr>
          <w:sz w:val="24"/>
          <w:szCs w:val="24"/>
          <w:vertAlign w:val="superscript"/>
        </w:rPr>
        <w:t>2</w:t>
      </w:r>
      <w:r>
        <w:rPr>
          <w:sz w:val="24"/>
          <w:szCs w:val="24"/>
        </w:rPr>
        <w:t>Chinese Research Academy of Environmental Sciences Institution, Beijing, 100012, China</w:t>
      </w:r>
    </w:p>
    <w:p w:rsidR="007F3A26" w:rsidRDefault="00904A25">
      <w:pPr>
        <w:spacing w:line="360" w:lineRule="auto"/>
        <w:rPr>
          <w:sz w:val="24"/>
          <w:szCs w:val="24"/>
        </w:rPr>
      </w:pPr>
      <w:r>
        <w:rPr>
          <w:sz w:val="24"/>
          <w:szCs w:val="24"/>
          <w:vertAlign w:val="superscript"/>
        </w:rPr>
        <w:t>3</w:t>
      </w:r>
      <w:r>
        <w:rPr>
          <w:sz w:val="24"/>
          <w:szCs w:val="24"/>
        </w:rPr>
        <w:t>State Nuclear Electric Power Planning Design &amp; Research Institute Co., Ltd, Beijing, China</w:t>
      </w:r>
    </w:p>
    <w:p w:rsidR="007F3A26" w:rsidRDefault="00904A25">
      <w:pPr>
        <w:spacing w:line="360" w:lineRule="auto"/>
        <w:rPr>
          <w:sz w:val="24"/>
          <w:szCs w:val="24"/>
        </w:rPr>
      </w:pPr>
      <w:r>
        <w:rPr>
          <w:sz w:val="24"/>
          <w:szCs w:val="24"/>
          <w:vertAlign w:val="superscript"/>
        </w:rPr>
        <w:t>4</w:t>
      </w:r>
      <w:r>
        <w:rPr>
          <w:sz w:val="24"/>
          <w:szCs w:val="24"/>
        </w:rPr>
        <w:t>Ningbo Institute of Materials Technology and Engineering, Chinese Academy of Sciences, Ningbo, 315201, Zhejiang, China</w:t>
      </w:r>
    </w:p>
    <w:p w:rsidR="00437241" w:rsidRDefault="00437241">
      <w:pPr>
        <w:spacing w:line="360" w:lineRule="auto"/>
        <w:rPr>
          <w:sz w:val="24"/>
          <w:szCs w:val="24"/>
        </w:rPr>
      </w:pPr>
      <w:r w:rsidRPr="008F1675">
        <w:rPr>
          <w:sz w:val="24"/>
          <w:szCs w:val="24"/>
          <w:highlight w:val="yellow"/>
          <w:vertAlign w:val="superscript"/>
        </w:rPr>
        <w:t>5</w:t>
      </w:r>
      <w:r w:rsidRPr="008F1675">
        <w:rPr>
          <w:highlight w:val="yellow"/>
        </w:rPr>
        <w:t xml:space="preserve"> </w:t>
      </w:r>
      <w:r w:rsidRPr="008F1675">
        <w:rPr>
          <w:sz w:val="24"/>
          <w:szCs w:val="24"/>
          <w:highlight w:val="yellow"/>
        </w:rPr>
        <w:t>Center for Electron Microscopy and Tianjin Key Lab of Advanced Functional Porous Materials, Institute for New Energy Materials &amp; Low-Carbon Technologies, School of Materials and Engineering, Tianjin University of Technology, Tianjin 300384, China.</w:t>
      </w:r>
    </w:p>
    <w:p w:rsidR="007F3A26" w:rsidRDefault="00437241">
      <w:pPr>
        <w:spacing w:line="360" w:lineRule="auto"/>
        <w:rPr>
          <w:sz w:val="24"/>
          <w:szCs w:val="24"/>
        </w:rPr>
      </w:pPr>
      <w:r w:rsidRPr="00437241">
        <w:rPr>
          <w:sz w:val="24"/>
          <w:szCs w:val="24"/>
          <w:highlight w:val="yellow"/>
          <w:vertAlign w:val="superscript"/>
        </w:rPr>
        <w:t>6</w:t>
      </w:r>
      <w:r w:rsidR="00904A25">
        <w:rPr>
          <w:sz w:val="24"/>
          <w:szCs w:val="24"/>
        </w:rPr>
        <w:t>University of Chinese Academy of Sciences, Beijing, 100049, China</w:t>
      </w:r>
    </w:p>
    <w:p w:rsidR="007F3A26" w:rsidRDefault="00904A25">
      <w:pPr>
        <w:spacing w:line="360" w:lineRule="auto"/>
        <w:rPr>
          <w:sz w:val="24"/>
          <w:szCs w:val="24"/>
        </w:rPr>
      </w:pPr>
      <w:r>
        <w:rPr>
          <w:sz w:val="24"/>
          <w:szCs w:val="24"/>
        </w:rPr>
        <w:t>*Email: kuangyun@mail.buct.edu.cn (Yun Kuang); luzhiyi@nimte.ac.cn (Zhiyi Lu); sunxm@mail.buct.edu.cn (Xiaoming Sun)</w:t>
      </w:r>
    </w:p>
    <w:p w:rsidR="007F3A26" w:rsidRDefault="007F3A26">
      <w:pPr>
        <w:spacing w:line="360" w:lineRule="auto"/>
        <w:rPr>
          <w:b/>
          <w:sz w:val="24"/>
          <w:szCs w:val="24"/>
        </w:rPr>
      </w:pPr>
    </w:p>
    <w:p w:rsidR="007F3A26" w:rsidRDefault="007F3A26">
      <w:pPr>
        <w:spacing w:line="360" w:lineRule="auto"/>
        <w:rPr>
          <w:b/>
          <w:sz w:val="24"/>
          <w:szCs w:val="24"/>
        </w:rPr>
      </w:pPr>
    </w:p>
    <w:p w:rsidR="007F3A26" w:rsidRDefault="00904A25">
      <w:pPr>
        <w:spacing w:line="360" w:lineRule="auto"/>
        <w:jc w:val="center"/>
        <w:rPr>
          <w:sz w:val="24"/>
          <w:szCs w:val="24"/>
        </w:rPr>
      </w:pPr>
      <w:r>
        <w:rPr>
          <w:noProof/>
          <w:sz w:val="24"/>
          <w:szCs w:val="24"/>
        </w:rPr>
        <w:lastRenderedPageBreak/>
        <w:drawing>
          <wp:inline distT="0" distB="0" distL="114300" distR="114300">
            <wp:extent cx="2880995" cy="3528060"/>
            <wp:effectExtent l="0" t="0" r="0" b="15875"/>
            <wp:docPr id="4" name="图片 1" descr="c043be5d590eef96462ea630a59cc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043be5d590eef96462ea630a59ccdf"/>
                    <pic:cNvPicPr>
                      <a:picLocks noChangeAspect="1"/>
                    </pic:cNvPicPr>
                  </pic:nvPicPr>
                  <pic:blipFill>
                    <a:blip r:embed="rId7"/>
                    <a:stretch>
                      <a:fillRect/>
                    </a:stretch>
                  </pic:blipFill>
                  <pic:spPr>
                    <a:xfrm>
                      <a:off x="0" y="0"/>
                      <a:ext cx="2880995" cy="3528060"/>
                    </a:xfrm>
                    <a:prstGeom prst="rect">
                      <a:avLst/>
                    </a:prstGeom>
                    <a:noFill/>
                    <a:ln>
                      <a:noFill/>
                    </a:ln>
                  </pic:spPr>
                </pic:pic>
              </a:graphicData>
            </a:graphic>
          </wp:inline>
        </w:drawing>
      </w:r>
    </w:p>
    <w:p w:rsidR="007F3A26" w:rsidRDefault="00904A25">
      <w:pPr>
        <w:spacing w:line="360" w:lineRule="auto"/>
        <w:jc w:val="center"/>
        <w:rPr>
          <w:sz w:val="24"/>
          <w:szCs w:val="24"/>
        </w:rPr>
      </w:pPr>
      <w:r>
        <w:rPr>
          <w:b/>
          <w:sz w:val="24"/>
          <w:szCs w:val="24"/>
        </w:rPr>
        <w:t>Figure S1.</w:t>
      </w:r>
      <w:r>
        <w:rPr>
          <w:sz w:val="24"/>
          <w:szCs w:val="24"/>
        </w:rPr>
        <w:t xml:space="preserve"> Schematic diagram of a single cell of an industrial electrolyzer.</w:t>
      </w:r>
    </w:p>
    <w:p w:rsidR="007F3A26" w:rsidRDefault="007F3A26">
      <w:pPr>
        <w:spacing w:line="360" w:lineRule="auto"/>
        <w:rPr>
          <w:sz w:val="24"/>
          <w:szCs w:val="24"/>
        </w:rPr>
      </w:pPr>
    </w:p>
    <w:p w:rsidR="007F3A26" w:rsidRDefault="00904A25">
      <w:pPr>
        <w:spacing w:line="360" w:lineRule="auto"/>
        <w:rPr>
          <w:sz w:val="24"/>
          <w:szCs w:val="24"/>
        </w:rPr>
      </w:pPr>
      <w:r>
        <w:rPr>
          <w:sz w:val="24"/>
          <w:szCs w:val="24"/>
        </w:rPr>
        <w:t xml:space="preserve">Theoretical calculation of the concentration of NaCl during the seawater electrolysis with continuous supply of seawater: </w:t>
      </w:r>
    </w:p>
    <w:p w:rsidR="007F3A26" w:rsidRDefault="00904A25">
      <w:pPr>
        <w:spacing w:line="360" w:lineRule="auto"/>
        <w:rPr>
          <w:sz w:val="24"/>
          <w:szCs w:val="24"/>
        </w:rPr>
      </w:pPr>
      <w:r>
        <w:rPr>
          <w:sz w:val="24"/>
          <w:szCs w:val="24"/>
        </w:rPr>
        <w:t>The calculation was based on a commercial electrolyzer (electrolyzer model: HGE, Beijing CEI Technology Co. LTD). The industrial water electrolyzer is composed of several electrolytic cells. The electrode area and the working current density of the single cell is 0.196 m</w:t>
      </w:r>
      <w:r>
        <w:rPr>
          <w:sz w:val="24"/>
          <w:szCs w:val="24"/>
          <w:vertAlign w:val="superscript"/>
        </w:rPr>
        <w:t xml:space="preserve">2 </w:t>
      </w:r>
      <w:r>
        <w:rPr>
          <w:sz w:val="24"/>
          <w:szCs w:val="24"/>
        </w:rPr>
        <w:t>and 500 mA/cm</w:t>
      </w:r>
      <w:r>
        <w:rPr>
          <w:sz w:val="24"/>
          <w:szCs w:val="24"/>
          <w:vertAlign w:val="superscript"/>
        </w:rPr>
        <w:t>2</w:t>
      </w:r>
      <w:r>
        <w:rPr>
          <w:sz w:val="24"/>
          <w:szCs w:val="24"/>
        </w:rPr>
        <w:t>, respectively. One cell volume is 3 L. The initial concentration of NaCl is 0.5 M. Equation (1) is used to calculate the molar quantity of water consumption (n</w:t>
      </w:r>
      <w:r>
        <w:rPr>
          <w:sz w:val="24"/>
          <w:szCs w:val="24"/>
          <w:vertAlign w:val="subscript"/>
        </w:rPr>
        <w:t>H2O</w:t>
      </w:r>
      <w:r>
        <w:rPr>
          <w:sz w:val="24"/>
          <w:szCs w:val="24"/>
        </w:rPr>
        <w:t>), where the Faradic efficiency is assumed to be 100%. Q, N</w:t>
      </w:r>
      <w:r>
        <w:rPr>
          <w:sz w:val="24"/>
          <w:szCs w:val="24"/>
          <w:vertAlign w:val="subscript"/>
        </w:rPr>
        <w:t xml:space="preserve">A </w:t>
      </w:r>
      <w:r>
        <w:rPr>
          <w:sz w:val="24"/>
          <w:szCs w:val="24"/>
        </w:rPr>
        <w:t>and q are total amount of charge passed through the cell, Avogadro constant and electric charge of an electron, respectively.</w:t>
      </w:r>
    </w:p>
    <w:p w:rsidR="007F3A26" w:rsidRDefault="000112D5">
      <w:pPr>
        <w:spacing w:line="360" w:lineRule="auto"/>
        <w:rPr>
          <w:sz w:val="24"/>
          <w:szCs w:val="24"/>
        </w:rPr>
      </w:pP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H2O</m:t>
            </m:r>
          </m:sub>
        </m:sSub>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Q</m:t>
            </m:r>
          </m:num>
          <m:den>
            <m:r>
              <m:rPr>
                <m:sty m:val="p"/>
              </m:rPr>
              <w:rPr>
                <w:rFonts w:ascii="Cambria Math" w:hAnsi="Cambria Math"/>
                <w:sz w:val="24"/>
                <w:szCs w:val="24"/>
              </w:rPr>
              <m:t>2</m:t>
            </m:r>
            <m:sSub>
              <m:sSubPr>
                <m:ctrlPr>
                  <w:rPr>
                    <w:rFonts w:ascii="Cambria Math" w:hAnsi="Cambria Math"/>
                    <w:sz w:val="24"/>
                    <w:szCs w:val="24"/>
                  </w:rPr>
                </m:ctrlPr>
              </m:sSubPr>
              <m:e>
                <m:r>
                  <w:rPr>
                    <w:rFonts w:ascii="Cambria Math" w:hAnsi="Cambria Math"/>
                    <w:sz w:val="24"/>
                    <w:szCs w:val="24"/>
                  </w:rPr>
                  <m:t>N</m:t>
                </m:r>
              </m:e>
              <m:sub>
                <m:r>
                  <w:rPr>
                    <w:rFonts w:ascii="Cambria Math" w:hAnsi="Cambria Math"/>
                    <w:sz w:val="24"/>
                    <w:szCs w:val="24"/>
                  </w:rPr>
                  <m:t>A</m:t>
                </m:r>
              </m:sub>
            </m:sSub>
            <m:r>
              <w:rPr>
                <w:rFonts w:ascii="Cambria Math" w:hAnsi="Cambria Math"/>
                <w:sz w:val="24"/>
                <w:szCs w:val="24"/>
              </w:rPr>
              <m:t>?q</m:t>
            </m:r>
          </m:den>
        </m:f>
      </m:oMath>
      <w:r w:rsidR="00904A25">
        <w:rPr>
          <w:sz w:val="24"/>
          <w:szCs w:val="24"/>
        </w:rPr>
        <w:t xml:space="preserve">            (1)</w:t>
      </w:r>
    </w:p>
    <w:p w:rsidR="007F3A26" w:rsidRDefault="00904A25">
      <w:pPr>
        <w:spacing w:line="360" w:lineRule="auto"/>
        <w:rPr>
          <w:sz w:val="24"/>
          <w:szCs w:val="24"/>
        </w:rPr>
      </w:pPr>
      <w:r>
        <w:rPr>
          <w:sz w:val="24"/>
          <w:szCs w:val="24"/>
        </w:rPr>
        <w:t>The theoretical concentration of NaCl(C</w:t>
      </w:r>
      <w:r>
        <w:rPr>
          <w:sz w:val="24"/>
          <w:szCs w:val="24"/>
          <w:vertAlign w:val="subscript"/>
        </w:rPr>
        <w:t>NaCl</w:t>
      </w:r>
      <w:r>
        <w:rPr>
          <w:sz w:val="24"/>
          <w:szCs w:val="24"/>
        </w:rPr>
        <w:t>) in the single cell is obtained from Equation (2), where V</w:t>
      </w:r>
      <w:r>
        <w:rPr>
          <w:sz w:val="24"/>
          <w:szCs w:val="24"/>
          <w:vertAlign w:val="subscript"/>
        </w:rPr>
        <w:t>as</w:t>
      </w:r>
      <w:r>
        <w:rPr>
          <w:sz w:val="24"/>
          <w:szCs w:val="24"/>
        </w:rPr>
        <w:t xml:space="preserve"> is the volume of seawater feeding per hour,. V</w:t>
      </w:r>
      <w:r>
        <w:rPr>
          <w:sz w:val="24"/>
          <w:szCs w:val="24"/>
          <w:vertAlign w:val="subscript"/>
        </w:rPr>
        <w:t xml:space="preserve">cell </w:t>
      </w:r>
      <w:r>
        <w:rPr>
          <w:sz w:val="24"/>
          <w:szCs w:val="24"/>
        </w:rPr>
        <w:t xml:space="preserve">is volume of single cell and t is the running time of single cell. </w:t>
      </w:r>
    </w:p>
    <w:p w:rsidR="007F3A26" w:rsidRDefault="00904A25">
      <w:pPr>
        <w:spacing w:line="360" w:lineRule="auto"/>
        <w:rPr>
          <w:sz w:val="24"/>
          <w:szCs w:val="24"/>
        </w:rPr>
      </w:pPr>
      <w:r>
        <w:rPr>
          <w:sz w:val="24"/>
          <w:szCs w:val="24"/>
        </w:rPr>
        <w:t xml:space="preserve">   </w:t>
      </w:r>
      <m:oMath>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NaCl</m:t>
            </m:r>
          </m:sub>
        </m:sSub>
        <m:r>
          <w:rPr>
            <w:rFonts w:ascii="Cambria Math" w:hAnsi="Cambria Math"/>
            <w:sz w:val="24"/>
            <w:szCs w:val="24"/>
          </w:rPr>
          <m:t>=0.5+</m:t>
        </m:r>
        <m:f>
          <m:fPr>
            <m:ctrlPr>
              <w:rPr>
                <w:rFonts w:ascii="Cambria Math" w:hAnsi="Cambria Math"/>
                <w:sz w:val="24"/>
                <w:szCs w:val="24"/>
              </w:rPr>
            </m:ctrlPr>
          </m:fPr>
          <m:num>
            <m:r>
              <w:rPr>
                <w:rFonts w:ascii="Cambria Math" w:hAnsi="Cambria Math"/>
                <w:sz w:val="24"/>
                <w:szCs w:val="24"/>
              </w:rPr>
              <m:t>0.5</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as</m:t>
                </m:r>
              </m:sub>
            </m:sSub>
          </m:num>
          <m:den>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cell</m:t>
                </m:r>
              </m:sub>
            </m:sSub>
          </m:den>
        </m:f>
        <m:r>
          <w:rPr>
            <w:rFonts w:ascii="Cambria Math" w:hAnsi="Cambria Math"/>
            <w:sz w:val="24"/>
            <w:szCs w:val="24"/>
          </w:rPr>
          <m:t>?t</m:t>
        </m:r>
      </m:oMath>
      <w:r>
        <w:rPr>
          <w:sz w:val="24"/>
          <w:szCs w:val="24"/>
        </w:rPr>
        <w:t xml:space="preserve">         (2)</w:t>
      </w:r>
    </w:p>
    <w:p w:rsidR="007F3A26" w:rsidRDefault="00904A25">
      <w:pPr>
        <w:spacing w:line="360" w:lineRule="auto"/>
        <w:rPr>
          <w:sz w:val="24"/>
          <w:szCs w:val="24"/>
        </w:rPr>
      </w:pPr>
      <w:r>
        <w:rPr>
          <w:sz w:val="24"/>
          <w:szCs w:val="24"/>
        </w:rPr>
        <w:lastRenderedPageBreak/>
        <w:t xml:space="preserve">In the system of pure seawater as electrolyte without adding NaOH, the initial and saturated concentration of NaCl is 0.5 M and 5.33 M, respectively. With feeding seawater per hour, </w:t>
      </w:r>
      <w:r w:rsidRPr="008E38FB">
        <w:rPr>
          <w:sz w:val="24"/>
          <w:szCs w:val="24"/>
          <w:highlight w:val="yellow"/>
        </w:rPr>
        <w:t>NaCl crystals will precipitate from electrolyte after 88 h electrolysis.</w:t>
      </w:r>
      <w:r>
        <w:rPr>
          <w:sz w:val="24"/>
          <w:szCs w:val="24"/>
        </w:rPr>
        <w:t xml:space="preserve"> In the electrolyte of 6 M NaOH and 0.5 M NaCl, the saturated concentration of NaCl is 2.8 M. </w:t>
      </w:r>
      <w:r w:rsidRPr="008E38FB">
        <w:rPr>
          <w:sz w:val="24"/>
          <w:szCs w:val="24"/>
          <w:highlight w:val="yellow"/>
        </w:rPr>
        <w:t>With feeding seawater per hour, NaCl crystals will precipitate from electrolyte after 42 h electrolysis.</w:t>
      </w:r>
    </w:p>
    <w:p w:rsidR="007F3A26" w:rsidRDefault="007F3A26">
      <w:pPr>
        <w:spacing w:line="360" w:lineRule="auto"/>
        <w:rPr>
          <w:sz w:val="24"/>
          <w:szCs w:val="24"/>
        </w:rPr>
      </w:pPr>
    </w:p>
    <w:p w:rsidR="007F3A26" w:rsidRDefault="00904A25">
      <w:pPr>
        <w:spacing w:line="360" w:lineRule="auto"/>
        <w:jc w:val="center"/>
        <w:rPr>
          <w:sz w:val="24"/>
          <w:szCs w:val="24"/>
        </w:rPr>
      </w:pPr>
      <w:r>
        <w:rPr>
          <w:noProof/>
          <w:sz w:val="24"/>
          <w:szCs w:val="24"/>
        </w:rPr>
        <w:drawing>
          <wp:inline distT="0" distB="0" distL="114300" distR="114300">
            <wp:extent cx="3192780" cy="1342390"/>
            <wp:effectExtent l="0" t="0" r="762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a:stretch>
                      <a:fillRect/>
                    </a:stretch>
                  </pic:blipFill>
                  <pic:spPr>
                    <a:xfrm>
                      <a:off x="0" y="0"/>
                      <a:ext cx="3192780" cy="1342390"/>
                    </a:xfrm>
                    <a:prstGeom prst="rect">
                      <a:avLst/>
                    </a:prstGeom>
                    <a:noFill/>
                    <a:ln>
                      <a:noFill/>
                    </a:ln>
                  </pic:spPr>
                </pic:pic>
              </a:graphicData>
            </a:graphic>
          </wp:inline>
        </w:drawing>
      </w:r>
    </w:p>
    <w:p w:rsidR="007F3A26" w:rsidRDefault="00904A25">
      <w:pPr>
        <w:spacing w:line="360" w:lineRule="auto"/>
        <w:jc w:val="center"/>
        <w:rPr>
          <w:sz w:val="24"/>
          <w:szCs w:val="24"/>
        </w:rPr>
      </w:pPr>
      <w:r>
        <w:rPr>
          <w:b/>
          <w:sz w:val="24"/>
          <w:szCs w:val="24"/>
        </w:rPr>
        <w:t>Figure S2.</w:t>
      </w:r>
      <w:r>
        <w:rPr>
          <w:sz w:val="24"/>
          <w:szCs w:val="24"/>
        </w:rPr>
        <w:t xml:space="preserve"> Schematic diagram of common-ion effect.</w:t>
      </w:r>
    </w:p>
    <w:p w:rsidR="007F3A26" w:rsidRDefault="007F3A26">
      <w:pPr>
        <w:spacing w:line="360" w:lineRule="auto"/>
        <w:jc w:val="center"/>
        <w:rPr>
          <w:sz w:val="24"/>
          <w:szCs w:val="24"/>
        </w:rPr>
      </w:pPr>
    </w:p>
    <w:p w:rsidR="007F3A26" w:rsidRDefault="00904A25">
      <w:pPr>
        <w:spacing w:line="360" w:lineRule="auto"/>
        <w:jc w:val="center"/>
        <w:rPr>
          <w:color w:val="FF0000"/>
          <w:szCs w:val="21"/>
        </w:rPr>
      </w:pPr>
      <w:r>
        <w:rPr>
          <w:noProof/>
          <w:color w:val="FF0000"/>
          <w:szCs w:val="21"/>
        </w:rPr>
        <w:drawing>
          <wp:inline distT="0" distB="0" distL="114300" distR="114300">
            <wp:extent cx="2966085" cy="2309495"/>
            <wp:effectExtent l="0" t="0" r="5715" b="0"/>
            <wp:docPr id="6" name="图片 6" descr="图片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7"/>
                    <pic:cNvPicPr>
                      <a:picLocks noChangeAspect="1"/>
                    </pic:cNvPicPr>
                  </pic:nvPicPr>
                  <pic:blipFill>
                    <a:blip r:embed="rId9"/>
                    <a:srcRect l="8331" t="9323" r="10007"/>
                    <a:stretch>
                      <a:fillRect/>
                    </a:stretch>
                  </pic:blipFill>
                  <pic:spPr>
                    <a:xfrm>
                      <a:off x="0" y="0"/>
                      <a:ext cx="2966085" cy="2309495"/>
                    </a:xfrm>
                    <a:prstGeom prst="rect">
                      <a:avLst/>
                    </a:prstGeom>
                    <a:noFill/>
                    <a:ln>
                      <a:noFill/>
                    </a:ln>
                  </pic:spPr>
                </pic:pic>
              </a:graphicData>
            </a:graphic>
          </wp:inline>
        </w:drawing>
      </w:r>
    </w:p>
    <w:p w:rsidR="007F3A26" w:rsidRPr="00234A62" w:rsidRDefault="00904A25">
      <w:pPr>
        <w:spacing w:line="360" w:lineRule="auto"/>
        <w:rPr>
          <w:bCs/>
          <w:sz w:val="24"/>
          <w:szCs w:val="24"/>
        </w:rPr>
      </w:pPr>
      <w:r w:rsidRPr="00234A62">
        <w:rPr>
          <w:b/>
          <w:sz w:val="24"/>
          <w:szCs w:val="24"/>
          <w:lang w:eastAsia="ja-JP"/>
        </w:rPr>
        <w:t>Figure S</w:t>
      </w:r>
      <w:r w:rsidRPr="00234A62">
        <w:rPr>
          <w:rFonts w:hint="eastAsia"/>
          <w:b/>
          <w:sz w:val="24"/>
          <w:szCs w:val="24"/>
        </w:rPr>
        <w:t>3</w:t>
      </w:r>
      <w:r w:rsidRPr="00234A62">
        <w:rPr>
          <w:b/>
          <w:sz w:val="24"/>
          <w:szCs w:val="24"/>
          <w:lang w:eastAsia="ja-JP"/>
        </w:rPr>
        <w:t xml:space="preserve">. </w:t>
      </w:r>
      <w:r w:rsidRPr="00234A62">
        <w:rPr>
          <w:bCs/>
          <w:sz w:val="24"/>
          <w:szCs w:val="24"/>
        </w:rPr>
        <w:t xml:space="preserve">The X-ray diffraction (XRD) patterns of formed crystals after adding </w:t>
      </w:r>
      <w:r w:rsidRPr="00234A62">
        <w:rPr>
          <w:rFonts w:hint="eastAsia"/>
          <w:bCs/>
          <w:sz w:val="24"/>
          <w:szCs w:val="24"/>
        </w:rPr>
        <w:t>2 M</w:t>
      </w:r>
      <w:r w:rsidRPr="00234A62">
        <w:rPr>
          <w:bCs/>
          <w:sz w:val="24"/>
          <w:szCs w:val="24"/>
        </w:rPr>
        <w:t xml:space="preserve"> KOH into saturated NaCl.</w:t>
      </w:r>
    </w:p>
    <w:p w:rsidR="007F3A26" w:rsidRDefault="007F3A26">
      <w:pPr>
        <w:spacing w:line="360" w:lineRule="auto"/>
        <w:jc w:val="center"/>
        <w:rPr>
          <w:color w:val="FF0000"/>
          <w:szCs w:val="21"/>
        </w:rPr>
      </w:pPr>
    </w:p>
    <w:p w:rsidR="007F3A26" w:rsidRDefault="00A95F13">
      <w:pPr>
        <w:spacing w:line="360" w:lineRule="auto"/>
        <w:jc w:val="center"/>
        <w:rPr>
          <w:sz w:val="24"/>
          <w:szCs w:val="24"/>
        </w:rPr>
      </w:pPr>
      <w:r>
        <w:rPr>
          <w:noProof/>
          <w:sz w:val="24"/>
          <w:szCs w:val="24"/>
        </w:rPr>
        <w:lastRenderedPageBreak/>
        <w:drawing>
          <wp:inline distT="0" distB="0" distL="0" distR="0">
            <wp:extent cx="5236232" cy="2575927"/>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8.tif"/>
                    <pic:cNvPicPr/>
                  </pic:nvPicPr>
                  <pic:blipFill rotWithShape="1">
                    <a:blip r:embed="rId10">
                      <a:extLst>
                        <a:ext uri="{28A0092B-C50C-407E-A947-70E740481C1C}">
                          <a14:useLocalDpi xmlns:a14="http://schemas.microsoft.com/office/drawing/2010/main" val="0"/>
                        </a:ext>
                      </a:extLst>
                    </a:blip>
                    <a:srcRect l="3809" t="14796"/>
                    <a:stretch/>
                  </pic:blipFill>
                  <pic:spPr bwMode="auto">
                    <a:xfrm>
                      <a:off x="0" y="0"/>
                      <a:ext cx="5251039" cy="2583211"/>
                    </a:xfrm>
                    <a:prstGeom prst="rect">
                      <a:avLst/>
                    </a:prstGeom>
                    <a:ln>
                      <a:noFill/>
                    </a:ln>
                    <a:extLst>
                      <a:ext uri="{53640926-AAD7-44D8-BBD7-CCE9431645EC}">
                        <a14:shadowObscured xmlns:a14="http://schemas.microsoft.com/office/drawing/2010/main"/>
                      </a:ext>
                    </a:extLst>
                  </pic:spPr>
                </pic:pic>
              </a:graphicData>
            </a:graphic>
          </wp:inline>
        </w:drawing>
      </w:r>
    </w:p>
    <w:p w:rsidR="00234A62" w:rsidRPr="00234A62" w:rsidRDefault="00904A25" w:rsidP="00234A62">
      <w:pPr>
        <w:spacing w:line="360" w:lineRule="auto"/>
        <w:rPr>
          <w:sz w:val="24"/>
          <w:szCs w:val="24"/>
          <w:shd w:val="clear" w:color="auto" w:fill="FFFFFF"/>
        </w:rPr>
      </w:pPr>
      <w:r>
        <w:rPr>
          <w:b/>
          <w:sz w:val="24"/>
          <w:szCs w:val="24"/>
          <w:highlight w:val="yellow"/>
        </w:rPr>
        <w:t>Figure S</w:t>
      </w:r>
      <w:r>
        <w:rPr>
          <w:rFonts w:hint="eastAsia"/>
          <w:b/>
          <w:sz w:val="24"/>
          <w:szCs w:val="24"/>
          <w:highlight w:val="yellow"/>
        </w:rPr>
        <w:t>4</w:t>
      </w:r>
      <w:r>
        <w:rPr>
          <w:b/>
          <w:sz w:val="24"/>
          <w:szCs w:val="24"/>
          <w:highlight w:val="yellow"/>
        </w:rPr>
        <w:t xml:space="preserve">. </w:t>
      </w:r>
      <w:r w:rsidR="0051693F" w:rsidRPr="0051693F">
        <w:rPr>
          <w:sz w:val="24"/>
          <w:szCs w:val="24"/>
          <w:highlight w:val="yellow"/>
        </w:rPr>
        <w:t>XRD patterns of ternary NiCoFe hydroxide and phosphide (a). The red line showed the characteristic peaks of hydroxides (PDF#20-0786)</w:t>
      </w:r>
      <w:r w:rsidR="0051693F" w:rsidRPr="0051693F">
        <w:rPr>
          <w:rFonts w:hint="eastAsia"/>
          <w:sz w:val="24"/>
          <w:szCs w:val="24"/>
          <w:highlight w:val="yellow"/>
        </w:rPr>
        <w:t>.</w:t>
      </w:r>
      <w:r w:rsidR="0051693F" w:rsidRPr="0051693F">
        <w:rPr>
          <w:sz w:val="24"/>
          <w:szCs w:val="24"/>
          <w:highlight w:val="yellow"/>
        </w:rPr>
        <w:t xml:space="preserve"> After phosphating, all these peaks disappeared and two new peaks indexing to the characteristic peaks of </w:t>
      </w:r>
      <w:r w:rsidR="00234A62">
        <w:rPr>
          <w:sz w:val="24"/>
          <w:szCs w:val="24"/>
          <w:highlight w:val="yellow"/>
        </w:rPr>
        <w:t>Ni</w:t>
      </w:r>
      <w:r w:rsidR="00234A62">
        <w:rPr>
          <w:sz w:val="24"/>
          <w:szCs w:val="24"/>
          <w:highlight w:val="yellow"/>
          <w:vertAlign w:val="subscript"/>
        </w:rPr>
        <w:t>2</w:t>
      </w:r>
      <w:r w:rsidR="00234A62">
        <w:rPr>
          <w:sz w:val="24"/>
          <w:szCs w:val="24"/>
          <w:highlight w:val="yellow"/>
        </w:rPr>
        <w:t xml:space="preserve">P </w:t>
      </w:r>
      <w:r w:rsidR="0051693F" w:rsidRPr="0051693F">
        <w:rPr>
          <w:sz w:val="24"/>
          <w:szCs w:val="24"/>
          <w:highlight w:val="yellow"/>
        </w:rPr>
        <w:t>(PDF#</w:t>
      </w:r>
      <w:r w:rsidR="0051693F" w:rsidRPr="0051693F">
        <w:rPr>
          <w:rFonts w:hint="eastAsia"/>
          <w:sz w:val="24"/>
          <w:szCs w:val="24"/>
          <w:highlight w:val="yellow"/>
        </w:rPr>
        <w:t>03</w:t>
      </w:r>
      <w:r w:rsidR="0051693F" w:rsidRPr="0051693F">
        <w:rPr>
          <w:sz w:val="24"/>
          <w:szCs w:val="24"/>
          <w:highlight w:val="yellow"/>
        </w:rPr>
        <w:t>-</w:t>
      </w:r>
      <w:r w:rsidR="0051693F" w:rsidRPr="0051693F">
        <w:rPr>
          <w:rFonts w:hint="eastAsia"/>
          <w:sz w:val="24"/>
          <w:szCs w:val="24"/>
          <w:highlight w:val="yellow"/>
        </w:rPr>
        <w:t>0953</w:t>
      </w:r>
      <w:r w:rsidR="0051693F" w:rsidRPr="0051693F">
        <w:rPr>
          <w:sz w:val="24"/>
          <w:szCs w:val="24"/>
          <w:highlight w:val="yellow"/>
        </w:rPr>
        <w:t xml:space="preserve">) </w:t>
      </w:r>
      <w:r w:rsidR="00234A62">
        <w:rPr>
          <w:rFonts w:hint="eastAsia"/>
          <w:sz w:val="24"/>
          <w:szCs w:val="24"/>
          <w:highlight w:val="yellow"/>
        </w:rPr>
        <w:t>and</w:t>
      </w:r>
      <w:r w:rsidR="00234A62">
        <w:rPr>
          <w:sz w:val="24"/>
          <w:szCs w:val="24"/>
          <w:highlight w:val="yellow"/>
        </w:rPr>
        <w:t xml:space="preserve"> Co</w:t>
      </w:r>
      <w:r w:rsidR="00234A62">
        <w:rPr>
          <w:sz w:val="24"/>
          <w:szCs w:val="24"/>
          <w:highlight w:val="yellow"/>
          <w:vertAlign w:val="subscript"/>
        </w:rPr>
        <w:t>2</w:t>
      </w:r>
      <w:r w:rsidR="00234A62">
        <w:rPr>
          <w:sz w:val="24"/>
          <w:szCs w:val="24"/>
          <w:highlight w:val="yellow"/>
        </w:rPr>
        <w:t xml:space="preserve">P </w:t>
      </w:r>
      <w:r w:rsidR="00234A62" w:rsidRPr="0051693F">
        <w:rPr>
          <w:sz w:val="24"/>
          <w:szCs w:val="24"/>
          <w:highlight w:val="yellow"/>
        </w:rPr>
        <w:t>(PDF#</w:t>
      </w:r>
      <w:r w:rsidR="00A95F13">
        <w:rPr>
          <w:sz w:val="24"/>
          <w:szCs w:val="24"/>
          <w:highlight w:val="yellow"/>
        </w:rPr>
        <w:t>54</w:t>
      </w:r>
      <w:r w:rsidR="00234A62" w:rsidRPr="0051693F">
        <w:rPr>
          <w:sz w:val="24"/>
          <w:szCs w:val="24"/>
          <w:highlight w:val="yellow"/>
        </w:rPr>
        <w:t>-</w:t>
      </w:r>
      <w:r w:rsidR="00A95F13">
        <w:rPr>
          <w:rFonts w:hint="eastAsia"/>
          <w:sz w:val="24"/>
          <w:szCs w:val="24"/>
          <w:highlight w:val="yellow"/>
        </w:rPr>
        <w:t>0</w:t>
      </w:r>
      <w:r w:rsidR="00A95F13">
        <w:rPr>
          <w:sz w:val="24"/>
          <w:szCs w:val="24"/>
          <w:highlight w:val="yellow"/>
        </w:rPr>
        <w:t>41</w:t>
      </w:r>
      <w:r w:rsidR="00234A62" w:rsidRPr="0051693F">
        <w:rPr>
          <w:rFonts w:hint="eastAsia"/>
          <w:sz w:val="24"/>
          <w:szCs w:val="24"/>
          <w:highlight w:val="yellow"/>
        </w:rPr>
        <w:t>3</w:t>
      </w:r>
      <w:r w:rsidR="00234A62" w:rsidRPr="0051693F">
        <w:rPr>
          <w:sz w:val="24"/>
          <w:szCs w:val="24"/>
          <w:highlight w:val="yellow"/>
        </w:rPr>
        <w:t>)</w:t>
      </w:r>
      <w:r w:rsidR="00234A62">
        <w:rPr>
          <w:sz w:val="24"/>
          <w:szCs w:val="24"/>
          <w:highlight w:val="yellow"/>
        </w:rPr>
        <w:t xml:space="preserve"> </w:t>
      </w:r>
      <w:r w:rsidR="0051693F" w:rsidRPr="0051693F">
        <w:rPr>
          <w:sz w:val="24"/>
          <w:szCs w:val="24"/>
          <w:highlight w:val="yellow"/>
        </w:rPr>
        <w:t>appeared in the black line</w:t>
      </w:r>
      <w:r w:rsidR="00A95F13">
        <w:rPr>
          <w:sz w:val="24"/>
          <w:szCs w:val="24"/>
          <w:highlight w:val="yellow"/>
        </w:rPr>
        <w:t xml:space="preserve"> and blue line</w:t>
      </w:r>
      <w:r w:rsidR="0051693F" w:rsidRPr="0051693F">
        <w:rPr>
          <w:sz w:val="24"/>
          <w:szCs w:val="24"/>
          <w:highlight w:val="yellow"/>
        </w:rPr>
        <w:t>, suggesting complete conversion from hydroxide to phos</w:t>
      </w:r>
      <w:r w:rsidR="0051693F" w:rsidRPr="00234A62">
        <w:rPr>
          <w:sz w:val="24"/>
          <w:szCs w:val="24"/>
          <w:highlight w:val="yellow"/>
        </w:rPr>
        <w:t xml:space="preserve">phide on the Ni foam. </w:t>
      </w:r>
      <w:r w:rsidR="00234A62" w:rsidRPr="00234A62">
        <w:rPr>
          <w:rFonts w:hint="eastAsia"/>
          <w:sz w:val="24"/>
          <w:szCs w:val="24"/>
          <w:highlight w:val="yellow"/>
        </w:rPr>
        <w:t>E</w:t>
      </w:r>
      <w:r w:rsidR="00234A62" w:rsidRPr="00234A62">
        <w:rPr>
          <w:sz w:val="24"/>
          <w:szCs w:val="24"/>
          <w:highlight w:val="yellow"/>
          <w:shd w:val="clear" w:color="auto" w:fill="FFFFFF"/>
        </w:rPr>
        <w:t>lectron diffraction (ED)</w:t>
      </w:r>
      <w:r w:rsidR="00234A62" w:rsidRPr="00234A62">
        <w:rPr>
          <w:rFonts w:hint="eastAsia"/>
          <w:sz w:val="24"/>
          <w:szCs w:val="24"/>
          <w:highlight w:val="yellow"/>
          <w:shd w:val="clear" w:color="auto" w:fill="FFFFFF"/>
        </w:rPr>
        <w:t xml:space="preserve"> image (b), </w:t>
      </w:r>
      <w:r w:rsidR="00234A62" w:rsidRPr="00234A62">
        <w:rPr>
          <w:rFonts w:hint="eastAsia"/>
          <w:sz w:val="24"/>
          <w:szCs w:val="24"/>
          <w:highlight w:val="yellow"/>
        </w:rPr>
        <w:t>HAADF-STEM</w:t>
      </w:r>
      <w:r w:rsidR="00234A62" w:rsidRPr="00234A62">
        <w:rPr>
          <w:sz w:val="24"/>
          <w:szCs w:val="24"/>
          <w:highlight w:val="yellow"/>
        </w:rPr>
        <w:t xml:space="preserve"> image (</w:t>
      </w:r>
      <w:r w:rsidR="00234A62" w:rsidRPr="00234A62">
        <w:rPr>
          <w:rFonts w:hint="eastAsia"/>
          <w:sz w:val="24"/>
          <w:szCs w:val="24"/>
          <w:highlight w:val="yellow"/>
        </w:rPr>
        <w:t>c</w:t>
      </w:r>
      <w:r w:rsidR="00234A62" w:rsidRPr="00234A62">
        <w:rPr>
          <w:sz w:val="24"/>
          <w:szCs w:val="24"/>
          <w:highlight w:val="yellow"/>
        </w:rPr>
        <w:t>) and corresponding energy dispersive X-ray spectroscopy (EDS) mapping images (</w:t>
      </w:r>
      <w:r w:rsidR="00234A62" w:rsidRPr="00234A62">
        <w:rPr>
          <w:rFonts w:hint="eastAsia"/>
          <w:sz w:val="24"/>
          <w:szCs w:val="24"/>
          <w:highlight w:val="yellow"/>
        </w:rPr>
        <w:t>d</w:t>
      </w:r>
      <w:r w:rsidR="00234A62" w:rsidRPr="00234A62">
        <w:rPr>
          <w:sz w:val="24"/>
          <w:szCs w:val="24"/>
          <w:highlight w:val="yellow"/>
        </w:rPr>
        <w:t>) of as-prepared NiCoFeP.</w:t>
      </w:r>
    </w:p>
    <w:p w:rsidR="007F3A26" w:rsidRDefault="007F3A26" w:rsidP="00234A62">
      <w:pPr>
        <w:spacing w:line="360" w:lineRule="auto"/>
        <w:rPr>
          <w:sz w:val="24"/>
          <w:szCs w:val="24"/>
        </w:rPr>
      </w:pPr>
    </w:p>
    <w:p w:rsidR="007F3A26" w:rsidRDefault="00904A25">
      <w:pPr>
        <w:spacing w:line="360" w:lineRule="auto"/>
        <w:rPr>
          <w:b/>
          <w:sz w:val="24"/>
          <w:szCs w:val="24"/>
        </w:rPr>
      </w:pPr>
      <w:r>
        <w:rPr>
          <w:b/>
          <w:noProof/>
          <w:sz w:val="24"/>
          <w:szCs w:val="24"/>
        </w:rPr>
        <w:drawing>
          <wp:inline distT="0" distB="0" distL="114300" distR="114300">
            <wp:extent cx="5221605" cy="2719070"/>
            <wp:effectExtent l="0" t="0" r="17145" b="508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1"/>
                    <a:srcRect r="3667"/>
                    <a:stretch>
                      <a:fillRect/>
                    </a:stretch>
                  </pic:blipFill>
                  <pic:spPr>
                    <a:xfrm>
                      <a:off x="0" y="0"/>
                      <a:ext cx="5221605" cy="2719070"/>
                    </a:xfrm>
                    <a:prstGeom prst="rect">
                      <a:avLst/>
                    </a:prstGeom>
                    <a:noFill/>
                    <a:ln>
                      <a:noFill/>
                    </a:ln>
                  </pic:spPr>
                </pic:pic>
              </a:graphicData>
            </a:graphic>
          </wp:inline>
        </w:drawing>
      </w:r>
    </w:p>
    <w:p w:rsidR="007F3A26" w:rsidRDefault="00904A25">
      <w:pPr>
        <w:spacing w:line="360" w:lineRule="auto"/>
        <w:rPr>
          <w:sz w:val="24"/>
          <w:szCs w:val="24"/>
        </w:rPr>
      </w:pPr>
      <w:r>
        <w:rPr>
          <w:b/>
          <w:sz w:val="24"/>
          <w:szCs w:val="24"/>
        </w:rPr>
        <w:t>Figure S</w:t>
      </w:r>
      <w:r>
        <w:rPr>
          <w:rFonts w:hint="eastAsia"/>
          <w:b/>
          <w:sz w:val="24"/>
          <w:szCs w:val="24"/>
        </w:rPr>
        <w:t>5</w:t>
      </w:r>
      <w:r>
        <w:rPr>
          <w:b/>
          <w:sz w:val="24"/>
          <w:szCs w:val="24"/>
        </w:rPr>
        <w:t>.</w:t>
      </w:r>
      <w:r>
        <w:rPr>
          <w:sz w:val="24"/>
          <w:szCs w:val="24"/>
        </w:rPr>
        <w:t xml:space="preserve"> CV curves of NiCoFeP on the surface of Ni foam for HER (a), OER (b) and overall water splitting (c) before and after iR compensation in 6 M NaOH electrolyte with saturated NaCl. (d, e, f) Chronopotentiometry curves of overall water splitting </w:t>
      </w:r>
      <w:r>
        <w:rPr>
          <w:sz w:val="24"/>
          <w:szCs w:val="24"/>
        </w:rPr>
        <w:lastRenderedPageBreak/>
        <w:t>(NiCoFeP) for 100 h at different current densities before and after iR compensation using 6 M NaOH with saturated NaCl and real seawater with 6 M NaOH as the electrolyte.</w:t>
      </w:r>
    </w:p>
    <w:p w:rsidR="007F3A26" w:rsidRDefault="007F3A26">
      <w:pPr>
        <w:spacing w:line="360" w:lineRule="auto"/>
        <w:rPr>
          <w:sz w:val="24"/>
          <w:szCs w:val="24"/>
        </w:rPr>
      </w:pPr>
    </w:p>
    <w:p w:rsidR="007F3A26" w:rsidRDefault="00904A25">
      <w:pPr>
        <w:spacing w:line="360" w:lineRule="auto"/>
        <w:jc w:val="center"/>
        <w:rPr>
          <w:sz w:val="24"/>
          <w:szCs w:val="24"/>
        </w:rPr>
      </w:pPr>
      <w:r>
        <w:rPr>
          <w:noProof/>
          <w:sz w:val="24"/>
          <w:szCs w:val="24"/>
        </w:rPr>
        <w:drawing>
          <wp:inline distT="0" distB="0" distL="114300" distR="114300">
            <wp:extent cx="3157855" cy="2200910"/>
            <wp:effectExtent l="0" t="0" r="0" b="7620"/>
            <wp:docPr id="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8"/>
                    <pic:cNvPicPr>
                      <a:picLocks noChangeAspect="1"/>
                    </pic:cNvPicPr>
                  </pic:nvPicPr>
                  <pic:blipFill>
                    <a:blip r:embed="rId12"/>
                    <a:stretch>
                      <a:fillRect/>
                    </a:stretch>
                  </pic:blipFill>
                  <pic:spPr>
                    <a:xfrm>
                      <a:off x="0" y="0"/>
                      <a:ext cx="3157855" cy="2200910"/>
                    </a:xfrm>
                    <a:prstGeom prst="rect">
                      <a:avLst/>
                    </a:prstGeom>
                    <a:noFill/>
                    <a:ln>
                      <a:noFill/>
                    </a:ln>
                  </pic:spPr>
                </pic:pic>
              </a:graphicData>
            </a:graphic>
          </wp:inline>
        </w:drawing>
      </w:r>
    </w:p>
    <w:p w:rsidR="007F3A26" w:rsidRDefault="00904A25">
      <w:pPr>
        <w:spacing w:line="360" w:lineRule="auto"/>
        <w:jc w:val="center"/>
        <w:rPr>
          <w:sz w:val="24"/>
          <w:szCs w:val="24"/>
        </w:rPr>
      </w:pPr>
      <w:r>
        <w:rPr>
          <w:b/>
          <w:sz w:val="24"/>
          <w:szCs w:val="24"/>
        </w:rPr>
        <w:t>Figure S</w:t>
      </w:r>
      <w:r>
        <w:rPr>
          <w:rFonts w:hint="eastAsia"/>
          <w:b/>
          <w:sz w:val="24"/>
          <w:szCs w:val="24"/>
        </w:rPr>
        <w:t>6</w:t>
      </w:r>
      <w:r>
        <w:rPr>
          <w:b/>
          <w:sz w:val="24"/>
          <w:szCs w:val="24"/>
        </w:rPr>
        <w:t xml:space="preserve">. </w:t>
      </w:r>
      <w:r>
        <w:rPr>
          <w:sz w:val="24"/>
          <w:szCs w:val="24"/>
        </w:rPr>
        <w:t>Faraday efficiency of O</w:t>
      </w:r>
      <w:r>
        <w:rPr>
          <w:sz w:val="24"/>
          <w:szCs w:val="24"/>
          <w:vertAlign w:val="subscript"/>
        </w:rPr>
        <w:t>2</w:t>
      </w:r>
      <w:r>
        <w:rPr>
          <w:sz w:val="24"/>
          <w:szCs w:val="24"/>
        </w:rPr>
        <w:t xml:space="preserve"> in different electrolytes.</w:t>
      </w:r>
    </w:p>
    <w:p w:rsidR="007F3A26" w:rsidRDefault="007F3A26">
      <w:pPr>
        <w:spacing w:line="360" w:lineRule="auto"/>
        <w:rPr>
          <w:sz w:val="24"/>
          <w:szCs w:val="24"/>
        </w:rPr>
      </w:pPr>
    </w:p>
    <w:p w:rsidR="007F3A26" w:rsidRDefault="00904A25">
      <w:pPr>
        <w:spacing w:line="360" w:lineRule="auto"/>
        <w:jc w:val="center"/>
        <w:rPr>
          <w:sz w:val="24"/>
          <w:szCs w:val="24"/>
        </w:rPr>
      </w:pPr>
      <w:r>
        <w:rPr>
          <w:noProof/>
          <w:sz w:val="24"/>
          <w:szCs w:val="24"/>
        </w:rPr>
        <w:drawing>
          <wp:inline distT="0" distB="0" distL="114300" distR="114300">
            <wp:extent cx="3532505" cy="2456815"/>
            <wp:effectExtent l="0" t="0" r="0" b="63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3"/>
                    <a:stretch>
                      <a:fillRect/>
                    </a:stretch>
                  </pic:blipFill>
                  <pic:spPr>
                    <a:xfrm>
                      <a:off x="0" y="0"/>
                      <a:ext cx="3532505" cy="2456815"/>
                    </a:xfrm>
                    <a:prstGeom prst="rect">
                      <a:avLst/>
                    </a:prstGeom>
                    <a:noFill/>
                    <a:ln>
                      <a:noFill/>
                    </a:ln>
                  </pic:spPr>
                </pic:pic>
              </a:graphicData>
            </a:graphic>
          </wp:inline>
        </w:drawing>
      </w:r>
    </w:p>
    <w:p w:rsidR="007F3A26" w:rsidRDefault="00904A25">
      <w:pPr>
        <w:spacing w:line="360" w:lineRule="auto"/>
        <w:rPr>
          <w:sz w:val="24"/>
          <w:szCs w:val="24"/>
        </w:rPr>
      </w:pPr>
      <w:r>
        <w:rPr>
          <w:b/>
          <w:sz w:val="24"/>
          <w:szCs w:val="24"/>
        </w:rPr>
        <w:t>Figure S</w:t>
      </w:r>
      <w:r>
        <w:rPr>
          <w:rFonts w:hint="eastAsia"/>
          <w:b/>
          <w:sz w:val="24"/>
          <w:szCs w:val="24"/>
        </w:rPr>
        <w:t>7</w:t>
      </w:r>
      <w:r>
        <w:rPr>
          <w:b/>
          <w:sz w:val="24"/>
          <w:szCs w:val="24"/>
        </w:rPr>
        <w:t>.</w:t>
      </w:r>
      <w:r>
        <w:rPr>
          <w:sz w:val="24"/>
          <w:szCs w:val="24"/>
        </w:rPr>
        <w:t xml:space="preserve"> CV curves of NiCoFeP on the surface of Ni foam for overall water splitting in 6 M NaOH + saturated NaCl and real seawater + 6 M NaOH.</w:t>
      </w:r>
    </w:p>
    <w:p w:rsidR="007F3A26" w:rsidRDefault="007F3A26">
      <w:pPr>
        <w:spacing w:line="360" w:lineRule="auto"/>
        <w:rPr>
          <w:sz w:val="24"/>
          <w:szCs w:val="24"/>
        </w:rPr>
      </w:pPr>
    </w:p>
    <w:p w:rsidR="007F3A26" w:rsidRDefault="007F3A26">
      <w:pPr>
        <w:spacing w:line="360" w:lineRule="auto"/>
        <w:jc w:val="center"/>
        <w:rPr>
          <w:sz w:val="24"/>
          <w:szCs w:val="24"/>
        </w:rPr>
      </w:pPr>
    </w:p>
    <w:p w:rsidR="007F3A26" w:rsidRDefault="007F3A26">
      <w:pPr>
        <w:spacing w:line="360" w:lineRule="auto"/>
        <w:jc w:val="center"/>
        <w:rPr>
          <w:sz w:val="24"/>
          <w:szCs w:val="24"/>
        </w:rPr>
      </w:pPr>
    </w:p>
    <w:p w:rsidR="007F3A26" w:rsidRDefault="00904A25">
      <w:pPr>
        <w:spacing w:line="360" w:lineRule="auto"/>
        <w:jc w:val="center"/>
        <w:rPr>
          <w:sz w:val="24"/>
          <w:szCs w:val="24"/>
        </w:rPr>
      </w:pPr>
      <w:r>
        <w:rPr>
          <w:noProof/>
          <w:sz w:val="24"/>
          <w:szCs w:val="24"/>
        </w:rPr>
        <w:lastRenderedPageBreak/>
        <w:drawing>
          <wp:inline distT="0" distB="0" distL="114300" distR="114300">
            <wp:extent cx="5252085" cy="1953260"/>
            <wp:effectExtent l="0" t="0" r="5715" b="889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4"/>
                    <a:srcRect t="5908" r="5383"/>
                    <a:stretch>
                      <a:fillRect/>
                    </a:stretch>
                  </pic:blipFill>
                  <pic:spPr>
                    <a:xfrm>
                      <a:off x="0" y="0"/>
                      <a:ext cx="5252085" cy="1953260"/>
                    </a:xfrm>
                    <a:prstGeom prst="rect">
                      <a:avLst/>
                    </a:prstGeom>
                    <a:noFill/>
                    <a:ln>
                      <a:noFill/>
                    </a:ln>
                  </pic:spPr>
                </pic:pic>
              </a:graphicData>
            </a:graphic>
          </wp:inline>
        </w:drawing>
      </w:r>
    </w:p>
    <w:p w:rsidR="007F3A26" w:rsidRDefault="00904A25">
      <w:pPr>
        <w:spacing w:line="360" w:lineRule="auto"/>
        <w:jc w:val="left"/>
        <w:rPr>
          <w:sz w:val="24"/>
          <w:szCs w:val="24"/>
        </w:rPr>
      </w:pPr>
      <w:r>
        <w:rPr>
          <w:b/>
          <w:sz w:val="24"/>
          <w:szCs w:val="24"/>
        </w:rPr>
        <w:t>Figure S</w:t>
      </w:r>
      <w:r>
        <w:rPr>
          <w:rFonts w:hint="eastAsia"/>
          <w:b/>
          <w:sz w:val="24"/>
          <w:szCs w:val="24"/>
        </w:rPr>
        <w:t>8</w:t>
      </w:r>
      <w:r>
        <w:rPr>
          <w:b/>
          <w:sz w:val="24"/>
          <w:szCs w:val="24"/>
        </w:rPr>
        <w:t xml:space="preserve">. </w:t>
      </w:r>
      <w:r>
        <w:rPr>
          <w:sz w:val="24"/>
          <w:szCs w:val="24"/>
        </w:rPr>
        <w:t>CV curves of OER using NiCoFeP as the catalyst in different electrolytes.</w:t>
      </w:r>
    </w:p>
    <w:p w:rsidR="007F3A26" w:rsidRDefault="007F3A26">
      <w:pPr>
        <w:spacing w:line="360" w:lineRule="auto"/>
        <w:rPr>
          <w:sz w:val="24"/>
          <w:szCs w:val="24"/>
        </w:rPr>
      </w:pPr>
    </w:p>
    <w:p w:rsidR="007F3A26" w:rsidRDefault="00904A25">
      <w:pPr>
        <w:spacing w:line="360" w:lineRule="auto"/>
        <w:jc w:val="center"/>
        <w:rPr>
          <w:sz w:val="24"/>
          <w:szCs w:val="24"/>
        </w:rPr>
      </w:pPr>
      <w:r>
        <w:rPr>
          <w:noProof/>
          <w:color w:val="FF0000"/>
          <w:szCs w:val="21"/>
          <w:shd w:val="clear" w:color="auto" w:fill="FFFFFF"/>
        </w:rPr>
        <w:drawing>
          <wp:inline distT="0" distB="0" distL="114300" distR="114300">
            <wp:extent cx="4451985" cy="3321685"/>
            <wp:effectExtent l="0" t="0" r="5715" b="12065"/>
            <wp:docPr id="10" name="图片 11" descr="图片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图片14"/>
                    <pic:cNvPicPr>
                      <a:picLocks noChangeAspect="1"/>
                    </pic:cNvPicPr>
                  </pic:nvPicPr>
                  <pic:blipFill>
                    <a:blip r:embed="rId15"/>
                    <a:srcRect l="9937" t="10286" r="5624" b="2371"/>
                    <a:stretch>
                      <a:fillRect/>
                    </a:stretch>
                  </pic:blipFill>
                  <pic:spPr>
                    <a:xfrm>
                      <a:off x="0" y="0"/>
                      <a:ext cx="4451985" cy="3321685"/>
                    </a:xfrm>
                    <a:prstGeom prst="rect">
                      <a:avLst/>
                    </a:prstGeom>
                    <a:noFill/>
                    <a:ln>
                      <a:noFill/>
                    </a:ln>
                  </pic:spPr>
                </pic:pic>
              </a:graphicData>
            </a:graphic>
          </wp:inline>
        </w:drawing>
      </w:r>
    </w:p>
    <w:p w:rsidR="007F3A26" w:rsidRPr="00234A62" w:rsidRDefault="00904A25">
      <w:pPr>
        <w:spacing w:line="360" w:lineRule="auto"/>
        <w:rPr>
          <w:sz w:val="24"/>
          <w:szCs w:val="24"/>
        </w:rPr>
      </w:pPr>
      <w:bookmarkStart w:id="0" w:name="OLE_LINK1"/>
      <w:r w:rsidRPr="00234A62">
        <w:rPr>
          <w:rFonts w:hint="eastAsia"/>
          <w:b/>
          <w:bCs/>
          <w:color w:val="000033"/>
          <w:sz w:val="24"/>
          <w:szCs w:val="24"/>
          <w:shd w:val="clear" w:color="auto" w:fill="FFFFFF"/>
        </w:rPr>
        <w:t>Figure S9</w:t>
      </w:r>
      <w:r w:rsidRPr="00234A62">
        <w:rPr>
          <w:rFonts w:hint="eastAsia"/>
          <w:color w:val="000033"/>
          <w:sz w:val="24"/>
          <w:szCs w:val="24"/>
          <w:shd w:val="clear" w:color="auto" w:fill="FFFFFF"/>
        </w:rPr>
        <w:t xml:space="preserve"> Electrochemical performance of NiCoFeP electrode. (a) Chronopotentiometry curve of overall water splitting for 112 h at 200 mA/cm</w:t>
      </w:r>
      <w:r w:rsidRPr="00234A62">
        <w:rPr>
          <w:rFonts w:hint="eastAsia"/>
          <w:color w:val="000033"/>
          <w:sz w:val="24"/>
          <w:szCs w:val="24"/>
          <w:shd w:val="clear" w:color="auto" w:fill="FFFFFF"/>
          <w:vertAlign w:val="superscript"/>
        </w:rPr>
        <w:t>2</w:t>
      </w:r>
      <w:r w:rsidRPr="00234A62">
        <w:rPr>
          <w:rFonts w:hint="eastAsia"/>
          <w:color w:val="000033"/>
          <w:sz w:val="24"/>
          <w:szCs w:val="24"/>
          <w:shd w:val="clear" w:color="auto" w:fill="FFFFFF"/>
        </w:rPr>
        <w:t xml:space="preserve"> without iR compensation using 6 M NaOH + NaCl (Sat. ~2.8 M) </w:t>
      </w:r>
      <w:r w:rsidRPr="00234A62">
        <w:rPr>
          <w:rFonts w:hint="eastAsia"/>
          <w:color w:val="000000"/>
          <w:sz w:val="24"/>
          <w:szCs w:val="24"/>
          <w:shd w:val="clear" w:color="auto" w:fill="FFFFFF"/>
        </w:rPr>
        <w:t>with feeding CaMg-free seawater every 12 h. (b, c) CV curves of NiCoFeP for OER and HER respectively, resistance 0.6 ohm.</w:t>
      </w:r>
    </w:p>
    <w:bookmarkEnd w:id="0"/>
    <w:p w:rsidR="007F3A26" w:rsidRDefault="007F3A26">
      <w:pPr>
        <w:spacing w:line="360" w:lineRule="auto"/>
        <w:jc w:val="center"/>
        <w:rPr>
          <w:sz w:val="24"/>
          <w:szCs w:val="24"/>
        </w:rPr>
      </w:pPr>
    </w:p>
    <w:p w:rsidR="007F3A26" w:rsidRDefault="007F3A26">
      <w:pPr>
        <w:spacing w:line="360" w:lineRule="auto"/>
        <w:jc w:val="center"/>
        <w:rPr>
          <w:sz w:val="24"/>
          <w:szCs w:val="24"/>
        </w:rPr>
      </w:pPr>
    </w:p>
    <w:p w:rsidR="007F3A26" w:rsidRDefault="007F3A26">
      <w:pPr>
        <w:spacing w:line="360" w:lineRule="auto"/>
        <w:jc w:val="center"/>
        <w:rPr>
          <w:sz w:val="24"/>
          <w:szCs w:val="24"/>
        </w:rPr>
      </w:pPr>
    </w:p>
    <w:p w:rsidR="007F3A26" w:rsidRDefault="00904A25">
      <w:pPr>
        <w:spacing w:line="360" w:lineRule="auto"/>
        <w:jc w:val="center"/>
        <w:rPr>
          <w:sz w:val="24"/>
          <w:szCs w:val="24"/>
        </w:rPr>
      </w:pPr>
      <w:r>
        <w:rPr>
          <w:noProof/>
          <w:sz w:val="24"/>
          <w:szCs w:val="24"/>
        </w:rPr>
        <w:lastRenderedPageBreak/>
        <w:drawing>
          <wp:inline distT="0" distB="0" distL="114300" distR="114300">
            <wp:extent cx="5059045" cy="4048760"/>
            <wp:effectExtent l="0" t="0" r="825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a:srcRect l="4764" t="3888" r="5779"/>
                    <a:stretch>
                      <a:fillRect/>
                    </a:stretch>
                  </pic:blipFill>
                  <pic:spPr>
                    <a:xfrm>
                      <a:off x="0" y="0"/>
                      <a:ext cx="5059045" cy="4048760"/>
                    </a:xfrm>
                    <a:prstGeom prst="rect">
                      <a:avLst/>
                    </a:prstGeom>
                    <a:noFill/>
                    <a:ln>
                      <a:noFill/>
                    </a:ln>
                  </pic:spPr>
                </pic:pic>
              </a:graphicData>
            </a:graphic>
          </wp:inline>
        </w:drawing>
      </w:r>
    </w:p>
    <w:p w:rsidR="007F3A26" w:rsidRDefault="00904A25">
      <w:pPr>
        <w:spacing w:line="360" w:lineRule="auto"/>
        <w:rPr>
          <w:sz w:val="24"/>
          <w:szCs w:val="24"/>
        </w:rPr>
      </w:pPr>
      <w:r>
        <w:rPr>
          <w:b/>
          <w:sz w:val="24"/>
          <w:szCs w:val="24"/>
        </w:rPr>
        <w:t>Figure S</w:t>
      </w:r>
      <w:r>
        <w:rPr>
          <w:rFonts w:hint="eastAsia"/>
          <w:b/>
          <w:sz w:val="24"/>
          <w:szCs w:val="24"/>
        </w:rPr>
        <w:t>10</w:t>
      </w:r>
      <w:r>
        <w:rPr>
          <w:b/>
          <w:sz w:val="24"/>
          <w:szCs w:val="24"/>
        </w:rPr>
        <w:t xml:space="preserve">. </w:t>
      </w:r>
      <w:r>
        <w:rPr>
          <w:sz w:val="24"/>
          <w:szCs w:val="24"/>
        </w:rPr>
        <w:t xml:space="preserve">High-resolution XPS spectra of (a) Ni 2p, (b) Co 2p </w:t>
      </w:r>
      <w:r>
        <w:rPr>
          <w:rFonts w:hint="eastAsia"/>
          <w:sz w:val="24"/>
          <w:szCs w:val="24"/>
        </w:rPr>
        <w:t>and</w:t>
      </w:r>
      <w:r>
        <w:rPr>
          <w:sz w:val="24"/>
          <w:szCs w:val="24"/>
        </w:rPr>
        <w:t xml:space="preserve"> (c) Fe 2p obtained from NiCoFeP before and after water electrolysis. The Ni and Co in the anode were oxidized to higher oxidation state to accelerate OER, as evidenced by the red shift (Ni 2p) and the blue shift (Co 2p), respectively. The peaks of metallic state (Ni and Co) emerged in the cathode, indicating the metal elements were reduced during the electrolysis process. The chemical state of Fe was retained after OER and HER.</w:t>
      </w:r>
    </w:p>
    <w:p w:rsidR="00270879" w:rsidRDefault="00270879">
      <w:pPr>
        <w:spacing w:line="360" w:lineRule="auto"/>
        <w:rPr>
          <w:sz w:val="24"/>
          <w:szCs w:val="24"/>
        </w:rPr>
      </w:pPr>
    </w:p>
    <w:p w:rsidR="00270879" w:rsidRDefault="00270879" w:rsidP="00270879">
      <w:pPr>
        <w:widowControl/>
        <w:jc w:val="left"/>
        <w:rPr>
          <w:sz w:val="24"/>
          <w:szCs w:val="24"/>
        </w:rPr>
      </w:pPr>
      <w:r>
        <w:rPr>
          <w:sz w:val="24"/>
          <w:szCs w:val="24"/>
        </w:rPr>
        <w:br w:type="page"/>
      </w:r>
    </w:p>
    <w:p w:rsidR="007F3A26" w:rsidRDefault="00904A25">
      <w:pPr>
        <w:spacing w:line="360" w:lineRule="auto"/>
        <w:jc w:val="center"/>
        <w:rPr>
          <w:sz w:val="24"/>
          <w:szCs w:val="24"/>
        </w:rPr>
      </w:pPr>
      <w:r>
        <w:rPr>
          <w:b/>
          <w:sz w:val="24"/>
          <w:szCs w:val="24"/>
        </w:rPr>
        <w:lastRenderedPageBreak/>
        <w:t>Table S1</w:t>
      </w:r>
      <w:r>
        <w:rPr>
          <w:sz w:val="24"/>
          <w:szCs w:val="24"/>
        </w:rPr>
        <w:t>. The detailed data about the common-ion effect experiment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1381"/>
        <w:gridCol w:w="1371"/>
        <w:gridCol w:w="1371"/>
        <w:gridCol w:w="1371"/>
        <w:gridCol w:w="1371"/>
      </w:tblGrid>
      <w:tr w:rsidR="007F3A26">
        <w:trPr>
          <w:jc w:val="center"/>
        </w:trPr>
        <w:tc>
          <w:tcPr>
            <w:tcW w:w="1525" w:type="dxa"/>
            <w:tcBorders>
              <w:top w:val="single" w:sz="12" w:space="0" w:color="auto"/>
              <w:left w:val="nil"/>
              <w:bottom w:val="single" w:sz="12" w:space="0" w:color="auto"/>
              <w:right w:val="nil"/>
            </w:tcBorders>
          </w:tcPr>
          <w:p w:rsidR="007F3A26" w:rsidRDefault="00904A25">
            <w:pPr>
              <w:spacing w:line="360" w:lineRule="auto"/>
              <w:rPr>
                <w:rFonts w:eastAsia="Times New Roman"/>
                <w:kern w:val="0"/>
                <w:sz w:val="24"/>
                <w:szCs w:val="24"/>
              </w:rPr>
            </w:pPr>
            <w:r>
              <w:rPr>
                <w:rFonts w:eastAsia="Times New Roman"/>
                <w:kern w:val="0"/>
                <w:sz w:val="24"/>
                <w:szCs w:val="24"/>
              </w:rPr>
              <w:t>Number</w:t>
            </w:r>
          </w:p>
        </w:tc>
        <w:tc>
          <w:tcPr>
            <w:tcW w:w="1525" w:type="dxa"/>
            <w:tcBorders>
              <w:top w:val="single" w:sz="12" w:space="0" w:color="auto"/>
              <w:left w:val="nil"/>
              <w:bottom w:val="single" w:sz="12" w:space="0" w:color="auto"/>
              <w:right w:val="nil"/>
            </w:tcBorders>
          </w:tcPr>
          <w:p w:rsidR="007F3A26" w:rsidRDefault="00904A25">
            <w:pPr>
              <w:spacing w:line="360" w:lineRule="auto"/>
              <w:rPr>
                <w:rFonts w:eastAsia="Times New Roman"/>
                <w:kern w:val="0"/>
                <w:sz w:val="24"/>
                <w:szCs w:val="24"/>
              </w:rPr>
            </w:pPr>
            <w:r>
              <w:rPr>
                <w:rFonts w:eastAsia="Times New Roman"/>
                <w:kern w:val="0"/>
                <w:sz w:val="24"/>
                <w:szCs w:val="24"/>
              </w:rPr>
              <w:t>1</w:t>
            </w:r>
          </w:p>
        </w:tc>
        <w:tc>
          <w:tcPr>
            <w:tcW w:w="1525" w:type="dxa"/>
            <w:tcBorders>
              <w:top w:val="single" w:sz="12" w:space="0" w:color="auto"/>
              <w:left w:val="nil"/>
              <w:bottom w:val="single" w:sz="12" w:space="0" w:color="auto"/>
              <w:right w:val="nil"/>
            </w:tcBorders>
          </w:tcPr>
          <w:p w:rsidR="007F3A26" w:rsidRDefault="00904A25">
            <w:pPr>
              <w:spacing w:line="360" w:lineRule="auto"/>
              <w:rPr>
                <w:rFonts w:eastAsia="Times New Roman"/>
                <w:kern w:val="0"/>
                <w:sz w:val="24"/>
                <w:szCs w:val="24"/>
              </w:rPr>
            </w:pPr>
            <w:r>
              <w:rPr>
                <w:rFonts w:eastAsia="Times New Roman"/>
                <w:kern w:val="0"/>
                <w:sz w:val="24"/>
                <w:szCs w:val="24"/>
              </w:rPr>
              <w:t>2</w:t>
            </w:r>
          </w:p>
        </w:tc>
        <w:tc>
          <w:tcPr>
            <w:tcW w:w="1525" w:type="dxa"/>
            <w:tcBorders>
              <w:top w:val="single" w:sz="12" w:space="0" w:color="auto"/>
              <w:left w:val="nil"/>
              <w:bottom w:val="single" w:sz="12" w:space="0" w:color="auto"/>
              <w:right w:val="nil"/>
            </w:tcBorders>
          </w:tcPr>
          <w:p w:rsidR="007F3A26" w:rsidRDefault="00904A25">
            <w:pPr>
              <w:spacing w:line="360" w:lineRule="auto"/>
              <w:rPr>
                <w:rFonts w:eastAsia="Times New Roman"/>
                <w:kern w:val="0"/>
                <w:sz w:val="24"/>
                <w:szCs w:val="24"/>
              </w:rPr>
            </w:pPr>
            <w:r>
              <w:rPr>
                <w:rFonts w:eastAsia="Times New Roman"/>
                <w:kern w:val="0"/>
                <w:sz w:val="24"/>
                <w:szCs w:val="24"/>
              </w:rPr>
              <w:t>3</w:t>
            </w:r>
          </w:p>
        </w:tc>
        <w:tc>
          <w:tcPr>
            <w:tcW w:w="1525" w:type="dxa"/>
            <w:tcBorders>
              <w:top w:val="single" w:sz="12" w:space="0" w:color="auto"/>
              <w:left w:val="nil"/>
              <w:bottom w:val="single" w:sz="12" w:space="0" w:color="auto"/>
              <w:right w:val="nil"/>
            </w:tcBorders>
          </w:tcPr>
          <w:p w:rsidR="007F3A26" w:rsidRDefault="00904A25">
            <w:pPr>
              <w:spacing w:line="360" w:lineRule="auto"/>
              <w:rPr>
                <w:rFonts w:eastAsia="Times New Roman"/>
                <w:kern w:val="0"/>
                <w:sz w:val="24"/>
                <w:szCs w:val="24"/>
              </w:rPr>
            </w:pPr>
            <w:r>
              <w:rPr>
                <w:rFonts w:eastAsia="Times New Roman"/>
                <w:kern w:val="0"/>
                <w:sz w:val="24"/>
                <w:szCs w:val="24"/>
              </w:rPr>
              <w:t>4</w:t>
            </w:r>
          </w:p>
        </w:tc>
        <w:tc>
          <w:tcPr>
            <w:tcW w:w="1525" w:type="dxa"/>
            <w:tcBorders>
              <w:top w:val="single" w:sz="12" w:space="0" w:color="auto"/>
              <w:left w:val="nil"/>
              <w:bottom w:val="single" w:sz="12" w:space="0" w:color="auto"/>
              <w:right w:val="nil"/>
            </w:tcBorders>
          </w:tcPr>
          <w:p w:rsidR="007F3A26" w:rsidRDefault="00904A25">
            <w:pPr>
              <w:spacing w:line="360" w:lineRule="auto"/>
              <w:rPr>
                <w:rFonts w:eastAsia="Times New Roman"/>
                <w:kern w:val="0"/>
                <w:sz w:val="24"/>
                <w:szCs w:val="24"/>
              </w:rPr>
            </w:pPr>
            <w:r>
              <w:rPr>
                <w:rFonts w:eastAsia="Times New Roman"/>
                <w:kern w:val="0"/>
                <w:sz w:val="24"/>
                <w:szCs w:val="24"/>
              </w:rPr>
              <w:t>5</w:t>
            </w:r>
          </w:p>
        </w:tc>
      </w:tr>
      <w:tr w:rsidR="007F3A26">
        <w:trPr>
          <w:jc w:val="center"/>
        </w:trPr>
        <w:tc>
          <w:tcPr>
            <w:tcW w:w="1525" w:type="dxa"/>
            <w:tcBorders>
              <w:top w:val="single" w:sz="12" w:space="0" w:color="auto"/>
              <w:left w:val="nil"/>
              <w:bottom w:val="nil"/>
              <w:right w:val="nil"/>
            </w:tcBorders>
            <w:vAlign w:val="center"/>
          </w:tcPr>
          <w:p w:rsidR="007F3A26" w:rsidRDefault="00904A25">
            <w:pPr>
              <w:spacing w:line="360" w:lineRule="auto"/>
              <w:rPr>
                <w:rFonts w:eastAsia="Times New Roman"/>
                <w:kern w:val="0"/>
                <w:sz w:val="24"/>
                <w:szCs w:val="24"/>
              </w:rPr>
            </w:pPr>
            <w:r>
              <w:rPr>
                <w:rFonts w:eastAsia="Times New Roman"/>
                <w:kern w:val="0"/>
                <w:sz w:val="24"/>
                <w:szCs w:val="24"/>
              </w:rPr>
              <w:t>NaCl (g)</w:t>
            </w:r>
          </w:p>
        </w:tc>
        <w:tc>
          <w:tcPr>
            <w:tcW w:w="1525" w:type="dxa"/>
            <w:tcBorders>
              <w:top w:val="single" w:sz="12" w:space="0" w:color="auto"/>
              <w:left w:val="nil"/>
              <w:bottom w:val="nil"/>
              <w:right w:val="nil"/>
            </w:tcBorders>
            <w:vAlign w:val="center"/>
          </w:tcPr>
          <w:p w:rsidR="007F3A26" w:rsidRDefault="00904A25">
            <w:pPr>
              <w:spacing w:line="360" w:lineRule="auto"/>
              <w:rPr>
                <w:rFonts w:eastAsia="Times New Roman"/>
                <w:kern w:val="0"/>
                <w:sz w:val="24"/>
                <w:szCs w:val="24"/>
              </w:rPr>
            </w:pPr>
            <w:r>
              <w:rPr>
                <w:rFonts w:eastAsia="Times New Roman"/>
                <w:kern w:val="0"/>
                <w:sz w:val="24"/>
                <w:szCs w:val="24"/>
              </w:rPr>
              <w:t>35.2</w:t>
            </w:r>
          </w:p>
        </w:tc>
        <w:tc>
          <w:tcPr>
            <w:tcW w:w="1525" w:type="dxa"/>
            <w:tcBorders>
              <w:top w:val="single" w:sz="12" w:space="0" w:color="auto"/>
              <w:left w:val="nil"/>
              <w:bottom w:val="nil"/>
              <w:right w:val="nil"/>
            </w:tcBorders>
            <w:vAlign w:val="center"/>
          </w:tcPr>
          <w:p w:rsidR="007F3A26" w:rsidRPr="00631F03" w:rsidRDefault="00904A25">
            <w:pPr>
              <w:spacing w:line="360" w:lineRule="auto"/>
              <w:rPr>
                <w:rFonts w:eastAsia="Times New Roman"/>
                <w:color w:val="FF0000"/>
                <w:kern w:val="0"/>
                <w:sz w:val="24"/>
                <w:szCs w:val="24"/>
              </w:rPr>
            </w:pPr>
            <w:r w:rsidRPr="00631F03">
              <w:rPr>
                <w:rFonts w:eastAsia="Times New Roman"/>
                <w:color w:val="FF0000"/>
                <w:kern w:val="0"/>
                <w:sz w:val="24"/>
                <w:szCs w:val="24"/>
              </w:rPr>
              <w:t>3.4</w:t>
            </w:r>
          </w:p>
        </w:tc>
        <w:tc>
          <w:tcPr>
            <w:tcW w:w="1525" w:type="dxa"/>
            <w:tcBorders>
              <w:top w:val="single" w:sz="12" w:space="0" w:color="auto"/>
              <w:left w:val="nil"/>
              <w:bottom w:val="nil"/>
              <w:right w:val="nil"/>
            </w:tcBorders>
            <w:vAlign w:val="center"/>
          </w:tcPr>
          <w:p w:rsidR="007F3A26" w:rsidRPr="00631F03" w:rsidRDefault="00904A25">
            <w:pPr>
              <w:spacing w:line="360" w:lineRule="auto"/>
              <w:rPr>
                <w:rFonts w:eastAsia="Times New Roman"/>
                <w:color w:val="FF0000"/>
                <w:kern w:val="0"/>
                <w:sz w:val="24"/>
                <w:szCs w:val="24"/>
              </w:rPr>
            </w:pPr>
            <w:r w:rsidRPr="00631F03">
              <w:rPr>
                <w:rFonts w:eastAsia="Times New Roman"/>
                <w:color w:val="FF0000"/>
                <w:kern w:val="0"/>
                <w:sz w:val="24"/>
                <w:szCs w:val="24"/>
              </w:rPr>
              <w:t>4.1</w:t>
            </w:r>
          </w:p>
        </w:tc>
        <w:tc>
          <w:tcPr>
            <w:tcW w:w="1525" w:type="dxa"/>
            <w:tcBorders>
              <w:top w:val="single" w:sz="12" w:space="0" w:color="auto"/>
              <w:left w:val="nil"/>
              <w:bottom w:val="nil"/>
              <w:right w:val="nil"/>
            </w:tcBorders>
            <w:vAlign w:val="center"/>
          </w:tcPr>
          <w:p w:rsidR="007F3A26" w:rsidRPr="00631F03" w:rsidRDefault="00904A25">
            <w:pPr>
              <w:spacing w:line="360" w:lineRule="auto"/>
              <w:rPr>
                <w:rFonts w:eastAsia="Times New Roman"/>
                <w:color w:val="FF0000"/>
                <w:kern w:val="0"/>
                <w:sz w:val="24"/>
                <w:szCs w:val="24"/>
              </w:rPr>
            </w:pPr>
            <w:r w:rsidRPr="00631F03">
              <w:rPr>
                <w:rFonts w:eastAsia="Times New Roman"/>
                <w:color w:val="FF0000"/>
                <w:kern w:val="0"/>
                <w:sz w:val="24"/>
                <w:szCs w:val="24"/>
              </w:rPr>
              <w:t>5.9</w:t>
            </w:r>
          </w:p>
        </w:tc>
        <w:tc>
          <w:tcPr>
            <w:tcW w:w="1525" w:type="dxa"/>
            <w:tcBorders>
              <w:top w:val="single" w:sz="12" w:space="0" w:color="auto"/>
              <w:left w:val="nil"/>
              <w:bottom w:val="nil"/>
              <w:right w:val="nil"/>
            </w:tcBorders>
            <w:vAlign w:val="center"/>
          </w:tcPr>
          <w:p w:rsidR="007F3A26" w:rsidRPr="00631F03" w:rsidRDefault="00904A25">
            <w:pPr>
              <w:spacing w:line="360" w:lineRule="auto"/>
              <w:rPr>
                <w:rFonts w:eastAsia="Times New Roman"/>
                <w:color w:val="FF0000"/>
                <w:kern w:val="0"/>
                <w:sz w:val="24"/>
                <w:szCs w:val="24"/>
              </w:rPr>
            </w:pPr>
            <w:r w:rsidRPr="00631F03">
              <w:rPr>
                <w:rFonts w:eastAsia="Times New Roman"/>
                <w:color w:val="FF0000"/>
                <w:kern w:val="0"/>
                <w:sz w:val="24"/>
                <w:szCs w:val="24"/>
              </w:rPr>
              <w:t>4.5</w:t>
            </w:r>
          </w:p>
        </w:tc>
        <w:bookmarkStart w:id="1" w:name="_GoBack"/>
        <w:bookmarkEnd w:id="1"/>
      </w:tr>
      <w:tr w:rsidR="007F3A26">
        <w:trPr>
          <w:jc w:val="center"/>
        </w:trPr>
        <w:tc>
          <w:tcPr>
            <w:tcW w:w="1525" w:type="dxa"/>
            <w:tcBorders>
              <w:top w:val="nil"/>
              <w:left w:val="nil"/>
              <w:bottom w:val="nil"/>
              <w:right w:val="nil"/>
            </w:tcBorders>
            <w:vAlign w:val="center"/>
          </w:tcPr>
          <w:p w:rsidR="007F3A26" w:rsidRDefault="00904A25">
            <w:pPr>
              <w:spacing w:line="360" w:lineRule="auto"/>
              <w:rPr>
                <w:rFonts w:eastAsia="Times New Roman"/>
                <w:kern w:val="0"/>
                <w:sz w:val="24"/>
                <w:szCs w:val="24"/>
              </w:rPr>
            </w:pPr>
            <w:r>
              <w:rPr>
                <w:rFonts w:eastAsia="Times New Roman"/>
                <w:kern w:val="0"/>
                <w:sz w:val="24"/>
                <w:szCs w:val="24"/>
              </w:rPr>
              <w:t>Volume of solution (mL)</w:t>
            </w:r>
          </w:p>
        </w:tc>
        <w:tc>
          <w:tcPr>
            <w:tcW w:w="1525" w:type="dxa"/>
            <w:tcBorders>
              <w:top w:val="nil"/>
              <w:left w:val="nil"/>
              <w:bottom w:val="nil"/>
              <w:right w:val="nil"/>
            </w:tcBorders>
            <w:vAlign w:val="center"/>
          </w:tcPr>
          <w:p w:rsidR="007F3A26" w:rsidRDefault="00904A25">
            <w:pPr>
              <w:spacing w:line="360" w:lineRule="auto"/>
              <w:rPr>
                <w:rFonts w:eastAsia="Times New Roman"/>
                <w:kern w:val="0"/>
                <w:sz w:val="24"/>
                <w:szCs w:val="24"/>
              </w:rPr>
            </w:pPr>
            <w:r>
              <w:rPr>
                <w:rFonts w:eastAsia="Times New Roman"/>
                <w:kern w:val="0"/>
                <w:sz w:val="24"/>
                <w:szCs w:val="24"/>
              </w:rPr>
              <w:t>113</w:t>
            </w:r>
          </w:p>
        </w:tc>
        <w:tc>
          <w:tcPr>
            <w:tcW w:w="1525" w:type="dxa"/>
            <w:tcBorders>
              <w:top w:val="nil"/>
              <w:left w:val="nil"/>
              <w:bottom w:val="nil"/>
              <w:right w:val="nil"/>
            </w:tcBorders>
            <w:vAlign w:val="center"/>
          </w:tcPr>
          <w:p w:rsidR="007F3A26" w:rsidRDefault="00904A25">
            <w:pPr>
              <w:spacing w:line="360" w:lineRule="auto"/>
              <w:rPr>
                <w:rFonts w:eastAsia="Times New Roman"/>
                <w:kern w:val="0"/>
                <w:sz w:val="24"/>
                <w:szCs w:val="24"/>
              </w:rPr>
            </w:pPr>
            <w:r>
              <w:rPr>
                <w:rFonts w:eastAsia="Times New Roman"/>
                <w:kern w:val="0"/>
                <w:sz w:val="24"/>
                <w:szCs w:val="24"/>
              </w:rPr>
              <w:t>110</w:t>
            </w:r>
          </w:p>
        </w:tc>
        <w:tc>
          <w:tcPr>
            <w:tcW w:w="1525" w:type="dxa"/>
            <w:tcBorders>
              <w:top w:val="nil"/>
              <w:left w:val="nil"/>
              <w:bottom w:val="nil"/>
              <w:right w:val="nil"/>
            </w:tcBorders>
            <w:vAlign w:val="center"/>
          </w:tcPr>
          <w:p w:rsidR="007F3A26" w:rsidRDefault="00904A25">
            <w:pPr>
              <w:spacing w:line="360" w:lineRule="auto"/>
              <w:rPr>
                <w:rFonts w:eastAsia="Times New Roman"/>
                <w:kern w:val="0"/>
                <w:sz w:val="24"/>
                <w:szCs w:val="24"/>
              </w:rPr>
            </w:pPr>
            <w:r>
              <w:rPr>
                <w:rFonts w:eastAsia="Times New Roman"/>
                <w:kern w:val="0"/>
                <w:sz w:val="24"/>
                <w:szCs w:val="24"/>
              </w:rPr>
              <w:t>108</w:t>
            </w:r>
          </w:p>
        </w:tc>
        <w:tc>
          <w:tcPr>
            <w:tcW w:w="1525" w:type="dxa"/>
            <w:tcBorders>
              <w:top w:val="nil"/>
              <w:left w:val="nil"/>
              <w:bottom w:val="nil"/>
              <w:right w:val="nil"/>
            </w:tcBorders>
            <w:vAlign w:val="center"/>
          </w:tcPr>
          <w:p w:rsidR="007F3A26" w:rsidRDefault="00904A25">
            <w:pPr>
              <w:spacing w:line="360" w:lineRule="auto"/>
              <w:rPr>
                <w:rFonts w:eastAsia="Times New Roman"/>
                <w:kern w:val="0"/>
                <w:sz w:val="24"/>
                <w:szCs w:val="24"/>
              </w:rPr>
            </w:pPr>
            <w:r>
              <w:rPr>
                <w:rFonts w:eastAsia="Times New Roman"/>
                <w:kern w:val="0"/>
                <w:sz w:val="24"/>
                <w:szCs w:val="24"/>
              </w:rPr>
              <w:t>105</w:t>
            </w:r>
          </w:p>
        </w:tc>
        <w:tc>
          <w:tcPr>
            <w:tcW w:w="1525" w:type="dxa"/>
            <w:tcBorders>
              <w:top w:val="nil"/>
              <w:left w:val="nil"/>
              <w:bottom w:val="nil"/>
              <w:right w:val="nil"/>
            </w:tcBorders>
            <w:vAlign w:val="center"/>
          </w:tcPr>
          <w:p w:rsidR="007F3A26" w:rsidRDefault="00904A25">
            <w:pPr>
              <w:spacing w:line="360" w:lineRule="auto"/>
              <w:rPr>
                <w:rFonts w:eastAsia="Times New Roman"/>
                <w:kern w:val="0"/>
                <w:sz w:val="24"/>
                <w:szCs w:val="24"/>
              </w:rPr>
            </w:pPr>
            <w:r>
              <w:rPr>
                <w:rFonts w:eastAsia="Times New Roman"/>
                <w:kern w:val="0"/>
                <w:sz w:val="24"/>
                <w:szCs w:val="24"/>
              </w:rPr>
              <w:t>103</w:t>
            </w:r>
          </w:p>
        </w:tc>
      </w:tr>
      <w:tr w:rsidR="007F3A26">
        <w:trPr>
          <w:jc w:val="center"/>
        </w:trPr>
        <w:tc>
          <w:tcPr>
            <w:tcW w:w="1525" w:type="dxa"/>
            <w:tcBorders>
              <w:top w:val="nil"/>
              <w:left w:val="nil"/>
              <w:bottom w:val="single" w:sz="12" w:space="0" w:color="auto"/>
              <w:right w:val="nil"/>
            </w:tcBorders>
            <w:vAlign w:val="center"/>
          </w:tcPr>
          <w:p w:rsidR="007F3A26" w:rsidRDefault="00396B66">
            <w:pPr>
              <w:spacing w:line="360" w:lineRule="auto"/>
              <w:rPr>
                <w:rFonts w:eastAsia="Times New Roman"/>
                <w:kern w:val="0"/>
                <w:sz w:val="24"/>
                <w:szCs w:val="24"/>
              </w:rPr>
            </w:pPr>
            <w:r>
              <w:rPr>
                <w:rFonts w:eastAsia="Times New Roman"/>
                <w:kern w:val="0"/>
                <w:sz w:val="24"/>
                <w:szCs w:val="24"/>
              </w:rPr>
              <w:t>NaOH (</w:t>
            </w:r>
            <w:r w:rsidR="00904A25">
              <w:rPr>
                <w:rFonts w:eastAsia="Times New Roman"/>
                <w:kern w:val="0"/>
                <w:sz w:val="24"/>
                <w:szCs w:val="24"/>
              </w:rPr>
              <w:t>g)</w:t>
            </w:r>
          </w:p>
        </w:tc>
        <w:tc>
          <w:tcPr>
            <w:tcW w:w="1525" w:type="dxa"/>
            <w:tcBorders>
              <w:top w:val="nil"/>
              <w:left w:val="nil"/>
              <w:bottom w:val="single" w:sz="12" w:space="0" w:color="auto"/>
              <w:right w:val="nil"/>
            </w:tcBorders>
            <w:vAlign w:val="center"/>
          </w:tcPr>
          <w:p w:rsidR="007F3A26" w:rsidRDefault="00904A25">
            <w:pPr>
              <w:spacing w:line="360" w:lineRule="auto"/>
              <w:rPr>
                <w:rFonts w:eastAsia="Times New Roman"/>
                <w:kern w:val="0"/>
                <w:sz w:val="24"/>
                <w:szCs w:val="24"/>
              </w:rPr>
            </w:pPr>
            <w:r>
              <w:rPr>
                <w:rFonts w:eastAsia="Times New Roman"/>
                <w:kern w:val="0"/>
                <w:sz w:val="24"/>
                <w:szCs w:val="24"/>
              </w:rPr>
              <w:t>0</w:t>
            </w:r>
          </w:p>
        </w:tc>
        <w:tc>
          <w:tcPr>
            <w:tcW w:w="1525" w:type="dxa"/>
            <w:tcBorders>
              <w:top w:val="nil"/>
              <w:left w:val="nil"/>
              <w:bottom w:val="single" w:sz="12" w:space="0" w:color="auto"/>
              <w:right w:val="nil"/>
            </w:tcBorders>
            <w:vAlign w:val="center"/>
          </w:tcPr>
          <w:p w:rsidR="007F3A26" w:rsidRDefault="00904A25">
            <w:pPr>
              <w:spacing w:line="360" w:lineRule="auto"/>
              <w:rPr>
                <w:rFonts w:eastAsia="Times New Roman"/>
                <w:kern w:val="0"/>
                <w:sz w:val="24"/>
                <w:szCs w:val="24"/>
              </w:rPr>
            </w:pPr>
            <w:r>
              <w:rPr>
                <w:rFonts w:eastAsia="Times New Roman"/>
                <w:kern w:val="0"/>
                <w:sz w:val="24"/>
                <w:szCs w:val="24"/>
              </w:rPr>
              <w:t>4</w:t>
            </w:r>
          </w:p>
        </w:tc>
        <w:tc>
          <w:tcPr>
            <w:tcW w:w="1525" w:type="dxa"/>
            <w:tcBorders>
              <w:top w:val="nil"/>
              <w:left w:val="nil"/>
              <w:bottom w:val="single" w:sz="12" w:space="0" w:color="auto"/>
              <w:right w:val="nil"/>
            </w:tcBorders>
            <w:vAlign w:val="center"/>
          </w:tcPr>
          <w:p w:rsidR="007F3A26" w:rsidRDefault="00904A25">
            <w:pPr>
              <w:spacing w:line="360" w:lineRule="auto"/>
              <w:rPr>
                <w:rFonts w:eastAsia="Times New Roman"/>
                <w:kern w:val="0"/>
                <w:sz w:val="24"/>
                <w:szCs w:val="24"/>
              </w:rPr>
            </w:pPr>
            <w:r>
              <w:rPr>
                <w:rFonts w:eastAsia="Times New Roman"/>
                <w:kern w:val="0"/>
                <w:sz w:val="24"/>
                <w:szCs w:val="24"/>
              </w:rPr>
              <w:t>8</w:t>
            </w:r>
          </w:p>
        </w:tc>
        <w:tc>
          <w:tcPr>
            <w:tcW w:w="1525" w:type="dxa"/>
            <w:tcBorders>
              <w:top w:val="nil"/>
              <w:left w:val="nil"/>
              <w:bottom w:val="single" w:sz="12" w:space="0" w:color="auto"/>
              <w:right w:val="nil"/>
            </w:tcBorders>
            <w:vAlign w:val="center"/>
          </w:tcPr>
          <w:p w:rsidR="007F3A26" w:rsidRDefault="00904A25">
            <w:pPr>
              <w:spacing w:line="360" w:lineRule="auto"/>
              <w:rPr>
                <w:rFonts w:eastAsia="Times New Roman"/>
                <w:kern w:val="0"/>
                <w:sz w:val="24"/>
                <w:szCs w:val="24"/>
              </w:rPr>
            </w:pPr>
            <w:r>
              <w:rPr>
                <w:rFonts w:eastAsia="Times New Roman"/>
                <w:kern w:val="0"/>
                <w:sz w:val="24"/>
                <w:szCs w:val="24"/>
              </w:rPr>
              <w:t>16</w:t>
            </w:r>
          </w:p>
        </w:tc>
        <w:tc>
          <w:tcPr>
            <w:tcW w:w="1525" w:type="dxa"/>
            <w:tcBorders>
              <w:top w:val="nil"/>
              <w:left w:val="nil"/>
              <w:bottom w:val="single" w:sz="12" w:space="0" w:color="auto"/>
              <w:right w:val="nil"/>
            </w:tcBorders>
            <w:vAlign w:val="center"/>
          </w:tcPr>
          <w:p w:rsidR="007F3A26" w:rsidRDefault="00904A25">
            <w:pPr>
              <w:spacing w:line="360" w:lineRule="auto"/>
              <w:rPr>
                <w:rFonts w:eastAsia="Times New Roman"/>
                <w:kern w:val="0"/>
                <w:sz w:val="24"/>
                <w:szCs w:val="24"/>
              </w:rPr>
            </w:pPr>
            <w:r>
              <w:rPr>
                <w:rFonts w:eastAsia="Times New Roman"/>
                <w:kern w:val="0"/>
                <w:sz w:val="24"/>
                <w:szCs w:val="24"/>
              </w:rPr>
              <w:t>24</w:t>
            </w:r>
          </w:p>
        </w:tc>
      </w:tr>
    </w:tbl>
    <w:p w:rsidR="007F3A26" w:rsidRDefault="007F3A26">
      <w:pPr>
        <w:spacing w:line="360" w:lineRule="auto"/>
        <w:rPr>
          <w:sz w:val="24"/>
          <w:szCs w:val="24"/>
        </w:rPr>
      </w:pPr>
    </w:p>
    <w:p w:rsidR="007F3A26" w:rsidRDefault="00904A25">
      <w:pPr>
        <w:spacing w:line="360" w:lineRule="auto"/>
        <w:rPr>
          <w:sz w:val="24"/>
          <w:szCs w:val="24"/>
        </w:rPr>
      </w:pPr>
      <w:r>
        <w:rPr>
          <w:sz w:val="24"/>
          <w:szCs w:val="24"/>
        </w:rPr>
        <w:t>To measure the solubility of NaCl at different concentrations of NaOH, we performed the following procedure. Firstly, we added 35.2 g NaCl into 100 g water to prepare the saturated solution (marked as solution 1), and the volume of solution increased from 100 mL to 113 mL. Secondly, we added 4 g NaOH into above saturated NaCl solution (solution 1) with string for 6 h, then filtrating the solution (marked as solution 2) and the sediment (NaCl). The volume of this solution 2 was 110 mL containing 4 g NaOH. The sediment (NaCl) was 3.4 g after drying. Thirdly, we added another 4 g NaOH into above saturated NaCl solution with string for 6 h, then filtrating the solution (marked as solution 3) and the sediment (NaCl). The volume of this solution 3 was 108 mL containing 8 g NaOH. The sediment (NaCl) was 4.1 g after drying. Fourthly, we added another 8 g NaOH into above saturated NaCl solution with string for 6 h, then filtrating the solution (marked as number 4) and the sediment (NaCl). The volume of this solution 4 was 105 mL containing 16 g NaOH. The sediment (NaCl) was 5.9 g after drying. Finally, we added another 8 g NaOH into above saturated NaCl solution with string for 6 h, then filtrating the solution (marked as number 5) and the sediment (NaCl). The volume of this solution 5 was 103 mL containing 24 g NaOH. The sediment (NaCl) was 4.5 g after drying.</w:t>
      </w:r>
    </w:p>
    <w:sectPr w:rsidR="007F3A26">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12D5" w:rsidRDefault="000112D5" w:rsidP="0051693F">
      <w:r>
        <w:separator/>
      </w:r>
    </w:p>
  </w:endnote>
  <w:endnote w:type="continuationSeparator" w:id="0">
    <w:p w:rsidR="000112D5" w:rsidRDefault="000112D5" w:rsidP="00516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w:altName w:val="Times New Roman"/>
    <w:panose1 w:val="02020603050405020304"/>
    <w:charset w:val="00"/>
    <w:family w:val="roman"/>
    <w:pitch w:val="default"/>
    <w:sig w:usb0="00000000" w:usb1="00000000"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12D5" w:rsidRDefault="000112D5" w:rsidP="0051693F">
      <w:r>
        <w:separator/>
      </w:r>
    </w:p>
  </w:footnote>
  <w:footnote w:type="continuationSeparator" w:id="0">
    <w:p w:rsidR="000112D5" w:rsidRDefault="000112D5" w:rsidP="005169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3C3"/>
    <w:rsid w:val="000112D5"/>
    <w:rsid w:val="000223F8"/>
    <w:rsid w:val="00096E49"/>
    <w:rsid w:val="000E1BC2"/>
    <w:rsid w:val="001265B6"/>
    <w:rsid w:val="001B7504"/>
    <w:rsid w:val="00234A62"/>
    <w:rsid w:val="002553AF"/>
    <w:rsid w:val="002568D0"/>
    <w:rsid w:val="00266741"/>
    <w:rsid w:val="00270879"/>
    <w:rsid w:val="00287DC4"/>
    <w:rsid w:val="002A2165"/>
    <w:rsid w:val="00320D61"/>
    <w:rsid w:val="00354989"/>
    <w:rsid w:val="00386329"/>
    <w:rsid w:val="00396B66"/>
    <w:rsid w:val="003D0603"/>
    <w:rsid w:val="004043AC"/>
    <w:rsid w:val="00437241"/>
    <w:rsid w:val="004544A1"/>
    <w:rsid w:val="004A2F1F"/>
    <w:rsid w:val="004C3AFC"/>
    <w:rsid w:val="004F13C3"/>
    <w:rsid w:val="0051693F"/>
    <w:rsid w:val="00561529"/>
    <w:rsid w:val="0060027E"/>
    <w:rsid w:val="00610580"/>
    <w:rsid w:val="00611761"/>
    <w:rsid w:val="00631F03"/>
    <w:rsid w:val="00690B9A"/>
    <w:rsid w:val="006B50C6"/>
    <w:rsid w:val="006C7CC1"/>
    <w:rsid w:val="006D2CCE"/>
    <w:rsid w:val="006D7E4E"/>
    <w:rsid w:val="00721B35"/>
    <w:rsid w:val="007909D6"/>
    <w:rsid w:val="007F3A26"/>
    <w:rsid w:val="00882E8F"/>
    <w:rsid w:val="008D5C57"/>
    <w:rsid w:val="008E38FB"/>
    <w:rsid w:val="008E3E1C"/>
    <w:rsid w:val="008F2B8F"/>
    <w:rsid w:val="00903934"/>
    <w:rsid w:val="00904A25"/>
    <w:rsid w:val="00980989"/>
    <w:rsid w:val="00984F01"/>
    <w:rsid w:val="009D5711"/>
    <w:rsid w:val="009E5B16"/>
    <w:rsid w:val="009F00E7"/>
    <w:rsid w:val="00A73F09"/>
    <w:rsid w:val="00A95F13"/>
    <w:rsid w:val="00AA09C4"/>
    <w:rsid w:val="00AB3ECE"/>
    <w:rsid w:val="00AB7A54"/>
    <w:rsid w:val="00AD41C4"/>
    <w:rsid w:val="00B05ADB"/>
    <w:rsid w:val="00B42B48"/>
    <w:rsid w:val="00BC3C24"/>
    <w:rsid w:val="00BF2424"/>
    <w:rsid w:val="00C11AEF"/>
    <w:rsid w:val="00C1268E"/>
    <w:rsid w:val="00C90D33"/>
    <w:rsid w:val="00C953D5"/>
    <w:rsid w:val="00CD5A8E"/>
    <w:rsid w:val="00CE4678"/>
    <w:rsid w:val="00D24801"/>
    <w:rsid w:val="00D80E18"/>
    <w:rsid w:val="00DA18CD"/>
    <w:rsid w:val="00DB0541"/>
    <w:rsid w:val="00DB4FF1"/>
    <w:rsid w:val="00DD0C1E"/>
    <w:rsid w:val="00DE0ADE"/>
    <w:rsid w:val="00E77DE6"/>
    <w:rsid w:val="00EE1380"/>
    <w:rsid w:val="00EF02D8"/>
    <w:rsid w:val="00EF34AC"/>
    <w:rsid w:val="00F06571"/>
    <w:rsid w:val="00F533B5"/>
    <w:rsid w:val="00F6314E"/>
    <w:rsid w:val="00FC2652"/>
    <w:rsid w:val="00FC4805"/>
    <w:rsid w:val="00FD374A"/>
    <w:rsid w:val="00FF139B"/>
    <w:rsid w:val="010A523B"/>
    <w:rsid w:val="03862ADE"/>
    <w:rsid w:val="0DDD71CD"/>
    <w:rsid w:val="182C42DF"/>
    <w:rsid w:val="1EEB4BDC"/>
    <w:rsid w:val="268F55E2"/>
    <w:rsid w:val="2BA61985"/>
    <w:rsid w:val="320977F9"/>
    <w:rsid w:val="32BC26AF"/>
    <w:rsid w:val="330E183A"/>
    <w:rsid w:val="35CC3BA3"/>
    <w:rsid w:val="5505559C"/>
    <w:rsid w:val="6212648D"/>
    <w:rsid w:val="731F116E"/>
    <w:rsid w:val="7372167D"/>
    <w:rsid w:val="7A3B2314"/>
    <w:rsid w:val="7AF41D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30"/>
  <w15:docId w15:val="{7E4F74A2-0E65-4EA1-9219-EECFBDD99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table" w:styleId="a5">
    <w:name w:val="Table Grid"/>
    <w:basedOn w:val="a1"/>
    <w:uiPriority w:val="59"/>
    <w:qFormat/>
    <w:rPr>
      <w:rFonts w:ascii="Times" w:eastAsia="Times New Roman" w:hAns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页脚 Char"/>
    <w:link w:val="a3"/>
    <w:uiPriority w:val="99"/>
    <w:qFormat/>
    <w:rPr>
      <w:kern w:val="2"/>
      <w:sz w:val="18"/>
      <w:szCs w:val="18"/>
    </w:rPr>
  </w:style>
  <w:style w:type="character" w:customStyle="1" w:styleId="Char0">
    <w:name w:val="页眉 Char"/>
    <w:link w:val="a4"/>
    <w:uiPriority w:val="99"/>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6328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ti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1205</TotalTime>
  <Pages>1</Pages>
  <Words>1013</Words>
  <Characters>5779</Characters>
  <Application>Microsoft Office Word</Application>
  <DocSecurity>0</DocSecurity>
  <Lines>48</Lines>
  <Paragraphs>13</Paragraphs>
  <ScaleCrop>false</ScaleCrop>
  <Company/>
  <LinksUpToDate>false</LinksUpToDate>
  <CharactersWithSpaces>6779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LPS</dc:creator>
  <cp:lastModifiedBy>zhangzicong</cp:lastModifiedBy>
  <cp:revision>8</cp:revision>
  <dcterms:created xsi:type="dcterms:W3CDTF">2020-08-06T11:42:00Z</dcterms:created>
  <dcterms:modified xsi:type="dcterms:W3CDTF">2020-12-01T13:52:00Z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